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bookmarkStart w:colFirst="0" w:colLast="0" w:name="_heading=h.o2mrc5j0uhfb" w:id="0"/>
      <w:bookmarkEnd w:id="0"/>
      <w:r w:rsidDel="00000000" w:rsidR="00000000" w:rsidRPr="00000000">
        <w:rPr>
          <w:rtl w:val="0"/>
        </w:rPr>
        <w:t xml:space="preserve">After Intensive prep assessment,</w:t>
        <w:br w:type="textWrapping"/>
        <w:t xml:space="preserve">Advised to follow Geometric analysis  implementation</w:t>
      </w:r>
    </w:p>
    <w:p w:rsidR="00000000" w:rsidDel="00000000" w:rsidP="00000000" w:rsidRDefault="00000000" w:rsidRPr="00000000" w14:paraId="00000002">
      <w:pPr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Geometric analysis</w:t>
      </w:r>
    </w:p>
    <w:p w:rsidR="00000000" w:rsidDel="00000000" w:rsidP="00000000" w:rsidRDefault="00000000" w:rsidRPr="00000000" w14:paraId="00000003">
      <w:pPr>
        <w:rPr/>
      </w:pPr>
      <w:bookmarkStart w:colFirst="0" w:colLast="0" w:name="_heading=h.822lmphvjzh5" w:id="1"/>
      <w:bookmarkEnd w:id="1"/>
      <w:r w:rsidDel="00000000" w:rsidR="00000000" w:rsidRPr="00000000">
        <w:rPr>
          <w:rtl w:val="0"/>
        </w:rPr>
        <w:t xml:space="preserve">First deviated and tried methods such as 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heading=h.9n9epktg81q1" w:id="2"/>
      <w:bookmarkEnd w:id="2"/>
      <w:r w:rsidDel="00000000" w:rsidR="00000000" w:rsidRPr="00000000">
        <w:rPr>
          <w:rtl w:val="0"/>
        </w:rPr>
        <w:t xml:space="preserve">Visualising  weights for all the dense layers, and looking for patterns → Failed implementation in Trial.ipynb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bookmarkStart w:colFirst="0" w:colLast="0" w:name="_heading=h.wunvd5hybg5d" w:id="3"/>
      <w:bookmarkEnd w:id="3"/>
      <w:r w:rsidDel="00000000" w:rsidR="00000000" w:rsidRPr="00000000">
        <w:rPr/>
        <w:drawing>
          <wp:inline distB="114300" distT="114300" distL="114300" distR="114300">
            <wp:extent cx="5731200" cy="9525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bookmarkStart w:colFirst="0" w:colLast="0" w:name="_heading=h.8u6e1reds7vh" w:id="4"/>
      <w:bookmarkEnd w:id="4"/>
      <w:r w:rsidDel="00000000" w:rsidR="00000000" w:rsidRPr="00000000">
        <w:rPr/>
        <w:drawing>
          <wp:inline distB="114300" distT="114300" distL="114300" distR="114300">
            <wp:extent cx="6626550" cy="10922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655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bookmarkStart w:colFirst="0" w:colLast="0" w:name="_heading=h.o6q0xgpsfvyx" w:id="5"/>
      <w:bookmarkEnd w:id="5"/>
      <w:r w:rsidDel="00000000" w:rsidR="00000000" w:rsidRPr="00000000">
        <w:rPr>
          <w:rtl w:val="0"/>
        </w:rPr>
        <w:t xml:space="preserve">First Dense Layer Visualisation</w:t>
      </w:r>
    </w:p>
    <w:p w:rsidR="00000000" w:rsidDel="00000000" w:rsidP="00000000" w:rsidRDefault="00000000" w:rsidRPr="00000000" w14:paraId="00000008">
      <w:pPr>
        <w:ind w:left="0" w:firstLine="0"/>
        <w:rPr/>
      </w:pPr>
      <w:bookmarkStart w:colFirst="0" w:colLast="0" w:name="_heading=h.dwen19rhs5xs" w:id="6"/>
      <w:bookmarkEnd w:id="6"/>
      <w:r w:rsidDel="00000000" w:rsidR="00000000" w:rsidRPr="00000000">
        <w:rPr>
          <w:rtl w:val="0"/>
        </w:rPr>
        <w:t xml:space="preserve">Layer 2 Activations Visualisations</w:t>
      </w:r>
    </w:p>
    <w:p w:rsidR="00000000" w:rsidDel="00000000" w:rsidP="00000000" w:rsidRDefault="00000000" w:rsidRPr="00000000" w14:paraId="00000009">
      <w:pPr>
        <w:ind w:left="0" w:firstLine="0"/>
        <w:rPr/>
      </w:pPr>
      <w:bookmarkStart w:colFirst="0" w:colLast="0" w:name="_heading=h.ob2m6nvnd8y1" w:id="7"/>
      <w:bookmarkEnd w:id="7"/>
      <w:r w:rsidDel="00000000" w:rsidR="00000000" w:rsidRPr="00000000">
        <w:rPr/>
        <w:drawing>
          <wp:inline distB="114300" distT="114300" distL="114300" distR="114300">
            <wp:extent cx="3986213" cy="3959519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3959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Layer 3 Activations Visualisations</w:t>
      </w:r>
    </w:p>
    <w:p w:rsidR="00000000" w:rsidDel="00000000" w:rsidP="00000000" w:rsidRDefault="00000000" w:rsidRPr="00000000" w14:paraId="0000000B">
      <w:pPr>
        <w:ind w:left="0" w:firstLine="0"/>
        <w:rPr/>
      </w:pPr>
      <w:bookmarkStart w:colFirst="0" w:colLast="0" w:name="_heading=h.46oexqbd1pwh" w:id="8"/>
      <w:bookmarkEnd w:id="8"/>
      <w:r w:rsidDel="00000000" w:rsidR="00000000" w:rsidRPr="00000000">
        <w:rPr/>
        <w:drawing>
          <wp:inline distB="114300" distT="114300" distL="114300" distR="114300">
            <wp:extent cx="3967163" cy="4321716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4321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81263" cy="1181983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1181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bookmarkStart w:colFirst="0" w:colLast="0" w:name="_heading=h.i8kc5uk0zvgv" w:id="9"/>
      <w:bookmarkEnd w:id="9"/>
      <w:r w:rsidDel="00000000" w:rsidR="00000000" w:rsidRPr="00000000">
        <w:rPr/>
        <w:drawing>
          <wp:inline distB="114300" distT="114300" distL="114300" distR="114300">
            <wp:extent cx="6626550" cy="12700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655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bookmarkStart w:colFirst="0" w:colLast="0" w:name="_heading=h.gz10ie89gss" w:id="10"/>
      <w:bookmarkEnd w:id="10"/>
      <w:r w:rsidDel="00000000" w:rsidR="00000000" w:rsidRPr="00000000">
        <w:rPr>
          <w:rtl w:val="0"/>
        </w:rPr>
        <w:t xml:space="preserve">Implementations in Trial_Deep_Layer_Visualisation.ipynb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/>
      </w:pPr>
      <w:bookmarkStart w:colFirst="0" w:colLast="0" w:name="_heading=h.tfgb8qmy2e7u" w:id="11"/>
      <w:bookmarkEnd w:id="11"/>
      <w:r w:rsidDel="00000000" w:rsidR="00000000" w:rsidRPr="00000000">
        <w:rPr>
          <w:rtl w:val="0"/>
        </w:rPr>
        <w:t xml:space="preserve">Tried Visualizing Convolutional Neural Networks its  training </w:t>
      </w:r>
    </w:p>
    <w:p w:rsidR="00000000" w:rsidDel="00000000" w:rsidP="00000000" w:rsidRDefault="00000000" w:rsidRPr="00000000" w14:paraId="0000000F">
      <w:pPr>
        <w:ind w:left="0" w:firstLine="0"/>
        <w:rPr/>
      </w:pPr>
      <w:bookmarkStart w:colFirst="0" w:colLast="0" w:name="_heading=h.sothb2q2xlo6" w:id="12"/>
      <w:bookmarkEnd w:id="12"/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https://github.com/far1din/manim?tab=readme-ov-file#visualizing-convolutional-neural-networks--training-a-cnn</w:t>
        </w:r>
      </w:hyperlink>
      <w:r w:rsidDel="00000000" w:rsidR="00000000" w:rsidRPr="00000000">
        <w:rPr>
          <w:rtl w:val="0"/>
        </w:rPr>
        <w:t xml:space="preserve"> - Accessed on : 20th Novembe, 2024</w:t>
      </w:r>
    </w:p>
    <w:p w:rsidR="00000000" w:rsidDel="00000000" w:rsidP="00000000" w:rsidRDefault="00000000" w:rsidRPr="00000000" w14:paraId="00000010">
      <w:pPr>
        <w:ind w:left="0" w:firstLine="0"/>
        <w:rPr/>
      </w:pPr>
      <w:bookmarkStart w:colFirst="0" w:colLast="0" w:name="_heading=h.tuhrukmzaphi" w:id="13"/>
      <w:bookmarkEnd w:id="13"/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https://www.youtube.com/watch?v=jDe5BAsT2-Y</w:t>
        </w:r>
      </w:hyperlink>
      <w:r w:rsidDel="00000000" w:rsidR="00000000" w:rsidRPr="00000000">
        <w:rPr>
          <w:rtl w:val="0"/>
        </w:rPr>
        <w:t xml:space="preserve">  - Accessed on : 20th Novembe, 2024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heading=h.n7vnudgr7i4w" w:id="14"/>
      <w:bookmarkEnd w:id="14"/>
      <w:r w:rsidDel="00000000" w:rsidR="00000000" w:rsidRPr="00000000">
        <w:rPr>
          <w:rtl w:val="0"/>
        </w:rPr>
        <w:t xml:space="preserve">Found out statistical method that helps visualize high-dimensional data in two or three dimensions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ind w:left="720" w:firstLine="0"/>
        <w:rPr/>
      </w:pPr>
      <w:bookmarkStart w:colFirst="0" w:colLast="0" w:name="_heading=h.xaeaudh5367m" w:id="15"/>
      <w:bookmarkEnd w:id="15"/>
      <w:r w:rsidDel="00000000" w:rsidR="00000000" w:rsidRPr="00000000">
        <w:rPr/>
        <w:drawing>
          <wp:inline distB="114300" distT="114300" distL="114300" distR="114300">
            <wp:extent cx="5731200" cy="55245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bookmarkStart w:colFirst="0" w:colLast="0" w:name="_heading=h.cfq0pj3xpz92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bookmarkStart w:colFirst="0" w:colLast="0" w:name="_heading=h.nbfh9cw9zbiy" w:id="17"/>
      <w:bookmarkEnd w:id="17"/>
      <w:r w:rsidDel="00000000" w:rsidR="00000000" w:rsidRPr="00000000">
        <w:rPr>
          <w:rtl w:val="0"/>
        </w:rPr>
        <w:t xml:space="preserve">D. A. Senanayake, W. Wang, S. H. Naik and S. Halgamuge, "Self-Organizing Nebulous Growths for Robust and Incremental Data Visualization," in IEEE Transactions on Neural Networks and Learning Systems, vol. 32, no. 10, pp. 4588-4602, Oct. 2021, doi: 10.1109/TNNLS.2020.3023941.</w:t>
      </w:r>
    </w:p>
    <w:p w:rsidR="00000000" w:rsidDel="00000000" w:rsidP="00000000" w:rsidRDefault="00000000" w:rsidRPr="00000000" w14:paraId="00000016">
      <w:pPr>
        <w:pStyle w:val="Heading3"/>
        <w:ind w:left="720" w:firstLine="0"/>
        <w:rPr/>
      </w:pPr>
      <w:bookmarkStart w:colFirst="0" w:colLast="0" w:name="_heading=h.ojzlfuo6u71p" w:id="18"/>
      <w:bookmarkEnd w:id="18"/>
      <w:r w:rsidDel="00000000" w:rsidR="00000000" w:rsidRPr="00000000">
        <w:rPr>
          <w:rtl w:val="0"/>
        </w:rPr>
        <w:t xml:space="preserve">GPU Optimizable: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These techniques generally benefit significantly from GPU acceleration, primarily due to the parallelization of computations such as distance calculations, matrix operations, and iterative optimization procedures.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t-SNE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UMAP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SOMs (Self-Organizing Maps)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Spectral Embedding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SONGs (Self-Organizing Neural Graphs)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SONGs + Reinit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MDS (Multidimensional Scaling)</w:t>
      </w:r>
    </w:p>
    <w:p w:rsidR="00000000" w:rsidDel="00000000" w:rsidP="00000000" w:rsidRDefault="00000000" w:rsidRPr="00000000" w14:paraId="0000001F">
      <w:pPr>
        <w:pStyle w:val="Heading3"/>
        <w:ind w:left="720" w:firstLine="0"/>
        <w:rPr/>
      </w:pPr>
      <w:bookmarkStart w:colFirst="0" w:colLast="0" w:name="_heading=h.n9pu4mwnnsvm" w:id="19"/>
      <w:bookmarkEnd w:id="19"/>
      <w:r w:rsidDel="00000000" w:rsidR="00000000" w:rsidRPr="00000000">
        <w:rPr>
          <w:rtl w:val="0"/>
        </w:rPr>
        <w:t xml:space="preserve">Less Commonly GPU Optimizable:</w:t>
      </w:r>
    </w:p>
    <w:p w:rsidR="00000000" w:rsidDel="00000000" w:rsidP="00000000" w:rsidRDefault="00000000" w:rsidRPr="00000000" w14:paraId="00000020">
      <w:pPr>
        <w:ind w:left="720" w:firstLine="0"/>
        <w:rPr/>
      </w:pPr>
      <w:bookmarkStart w:colFirst="0" w:colLast="0" w:name="_heading=h.zhp2m9o8w63k" w:id="20"/>
      <w:bookmarkEnd w:id="20"/>
      <w:r w:rsidDel="00000000" w:rsidR="00000000" w:rsidRPr="00000000">
        <w:rPr>
          <w:rtl w:val="0"/>
        </w:rPr>
        <w:t xml:space="preserve">These techniques either do not typically utilize GPU acceleration in standard implementations or their typical computations do not parallelize as effectively on GPUs.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IsoMAP - While it could theoretically benefit from GPU acceleration, standard implementations usually don't employ it.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NCA (Neighborhood Components Analysis) - Some implementations might use GPUs for parts of the computation, but it's less common.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LDA (Linear Discriminant Analysis) - While matrix operations can be accelerated, the standard applications of LDA often do not require the heavy computational resources that benefit from GPUs.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Implementation of MDS in MDS_in_Colab.ipynb</w:t>
      </w:r>
    </w:p>
    <w:p w:rsidR="00000000" w:rsidDel="00000000" w:rsidP="00000000" w:rsidRDefault="00000000" w:rsidRPr="00000000" w14:paraId="00000025">
      <w:pPr>
        <w:rPr/>
      </w:pPr>
      <w:bookmarkStart w:colFirst="0" w:colLast="0" w:name="_heading=h.4uyjt6ud4hy4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bookmarkStart w:colFirst="0" w:colLast="0" w:name="_heading=h.y2u7k1n9c8tc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3986213" cy="3840537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3840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highlight w:val="white"/>
          <w:rtl w:val="0"/>
        </w:rPr>
        <w:t xml:space="preserve">Tao, X., Chang, X., Hong, X., Wei, X., Gong, Y. (2020). Topology-Preserving Class-Incremental Learning. In: Vedaldi, A., Bischof, H., Brox, T., Frahm, JM. (eds) Computer Vision – ECCV 2020. ECCV 2020. Lecture Notes in Computer Science(), vol 12364. Springer, Cham. </w:t>
      </w:r>
      <w:hyperlink r:id="rId16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highlight w:val="white"/>
            <w:u w:val="single"/>
            <w:rtl w:val="0"/>
          </w:rPr>
          <w:t xml:space="preserve">https://doi.org/10.1007/978-3-030-58529-7_16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bookmarkStart w:colFirst="0" w:colLast="0" w:name="_heading=h.wo6r1rwkcjxn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bookmarkStart w:colFirst="0" w:colLast="0" w:name="_heading=h.wyc15de3k3tc" w:id="24"/>
      <w:bookmarkEnd w:id="24"/>
      <w:r w:rsidDel="00000000" w:rsidR="00000000" w:rsidRPr="00000000">
        <w:rPr>
          <w:rtl w:val="0"/>
        </w:rPr>
        <w:t xml:space="preserve">Y. Yang et al., "Learning Adaptive Embedding Considering Incremental Class," in IEEE Transactions on Knowledge and Data Engineering, vol. 35, no. 3, pp. 2736-2749, 1 March 2023, doi: 10.1109/TKDE.2021.3109131.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keywords: {Data models;Task analysis;Labeling;Streaming media;Training;Prototypes;Manuals;Class-incremental learning;Novel class detection;incremental model update},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95" w:top="720" w:left="720" w:right="7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hyperlink" Target="https://github.com/far1din/manim?tab=readme-ov-file#visualizing-convolutional-neural-networks--training-a-cnn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hyperlink" Target="https://www.youtube.com/watch?v=jDe5BAsT2-Y" TargetMode="External"/><Relationship Id="rId16" Type="http://schemas.openxmlformats.org/officeDocument/2006/relationships/hyperlink" Target="https://doi.org/10.1007/978-3-030-58529-7_16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ud7osLcNITBxqtmq6fHtlPwYaQ==">CgMxLjAyDmgubzJtcmM1ajB1aGZiMg5oLjgyMmxtcGh2anpoNTIOaC45bjllcGt0ZzgxcTEyDmgud3VudmQ1aHliZzVkMg5oLjh1NmUxcmVkczd2aDIOaC5vNnEweGdwc2Z2eXgyDmguZHdlbjE5cmhzNXhzMg5oLm9iMm02bnZuZDh5MTIOaC40Nm9leHFiZDFwd2gyDmguaThrYzV1azB6dmd2Mg1oLmd6MTBpZTg5Z3NzMg5oLnRmZ2I4cW15MmU3dTIOaC5zb3RoYjJxMnhsbzYyDmgudHVocnVrbXphcGhpMg5oLm43dm51ZGdyN2k0dzIOaC54YWVhdWRoNTM2N20yDmguY2ZxMHBqM3hwejkyMg5oLm5iZmg5Y3c5emJpeTIOaC5vanpsZnVvNnU3MXAyDmgubjlwdTRtd25uc3ZtMg5oLnpocDJtOW84dzYzazIOaC40dXlqdDZ1ZDRoeTQyDmgueTJ1N2sxbjljOHRjMg5oLndvNnIxcndrY2p4bjIOaC53eWMxNWRlM2szdGM4AHIhMUNDMmZnd2ZuMWtGREtjSFl6Q0hpUENod1FoWnprVEN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