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Epic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 Switching Infrastructure Refresh Global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Refresh and replace all EOL/EOS switches across multiple locations (Mexico, Las Vegas, Canada, GCR Core, NJDC Distribution).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Implement a FortiGate firewall refresh, transitioning from FortiGate 1200D to FortiGate 600F for improved security and performance.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Optimize network authentication through a shift from shared secret to Radius server for enhanced security.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 Story 1: Mexico WAN Switch Refresh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a network administrator,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want to refresh the EOL/EOS WAN switch in Mexico,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that the network benefits from improved performance, security, and reliability.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Mexico WAN switch successfully replaced.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Connectivity and performance tested post-installation.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 Story 2: Las Vegas Access Switch Refresh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a network engineer,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want to refresh the access switch in Las Vegas,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 that users in the region can connect securely and efficiently with updated hardware.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Las Vegas access switch replaced and configured.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 connectivity validated.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User Story 3: Canada Access Switch Refresh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 a network engineer,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want to replace the EOL/EOS access switch in Canada,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 that the network can support higher speeds and provide better security features.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Access switch in Canada replaced.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Performance benchmarks and security testing completed.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User Story 4: GCR Core Switch Refresh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a network architect,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want to refresh the GCR Core switch,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 that the backbone of the network operates at optimal performance and is not vulnerable to security risks associated with older equipment.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GCR Core switch replaced and fully operational.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Network performance and security settings verified.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User Story 5: NJDC Distribution Switch Refresh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As a network administrator,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 want to refresh the distribution switch at NJDC,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 that the distribution layer of the network is secure and supports higher throughput.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NJDC distribution switch successfully replaced.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Test configurations and data flow through the distribution layer.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User Story 6: GCR Firewall Refresh – FortiGate 1200D to FortiGate 600F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As a network security engineer,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 want to replace the existing FortiGate 1200D firewall with the FortiGate 600F,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 that we ensure the firewall continues to meet modern security standards and is capable of handling increased traffic.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FortiGate 1200D decommissioned and replaced with FortiGate 600F.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Firewall rules and configurations validated.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Traffic flow tested post-installation.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User Story 7: GCR Authentication Optimization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 a network security engineer,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 want to move Wi-Fi authentication from shared secrets to a radius server,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So that we can enhance security and simplify management.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Authentication system switched to radius server.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Wi-Fi access tested for both security and performance.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Sprint 1: WAN and Access Switch Refresh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Timeline: 2 Weeks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Replace Mexico WAN switch.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Replace Las Vegas Access switch.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Perform connectivity and performance testing.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Sprint 2: Canada Access and Core Switch Refresh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Timeline: 2 Weeks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Replace Canada Access switch.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Replace GCR Core switch.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Test network performance and security settings post-installation.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Sprint 3: NJDC Distribution and Firewall Refresh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Timeline: 2 Weeks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Replace NJDC distribution switch.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Replace FortiGate 1200D firewall with FortiGate 600F.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Test configurations and monitor network traffic.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Sprint 4: Authentication Optimization and Final Testing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Timeline: 2 Weeks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Implement Radius authentication for Wi-Fi.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Test all new switches, firewall, and authentication system for performance and security.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Finalize documentation and provide training for operations teams.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