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B5D"/>
          <w:sz w:val="56"/>
        </w:rPr>
        <w:t>CYBERSENTINEL</w:t>
      </w:r>
    </w:p>
    <w:p>
      <w:pPr>
        <w:jc w:val="center"/>
      </w:pPr>
      <w:r>
        <w:rPr>
          <w:b/>
          <w:color w:val="1F5F7A"/>
          <w:sz w:val="40"/>
        </w:rPr>
        <w:t>Physics-Informed Graph Neural Network (PIGNN)</w:t>
        <w:br/>
        <w:t>Implementation Plan</w:t>
      </w:r>
    </w:p>
    <w:p>
      <w:pPr>
        <w:jc w:val="center"/>
      </w:pPr>
      <w:r>
        <w:rPr>
          <w:color w:val="505050"/>
          <w:sz w:val="22"/>
        </w:rPr>
        <w:t>Banking attack-path prediction | Integrated with DWM, existing pathfinding, LLM, MITRE and remediation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b/>
                <w:sz w:val="18"/>
              </w:rPr>
              <w:t>Document</w:t>
            </w:r>
          </w:p>
        </w:tc>
        <w:tc>
          <w:tcPr>
            <w:tcW w:type="dxa" w:w="5112"/>
            <w:vAlign w:val="center"/>
            <w:shd w:fill="D9EAF7"/>
          </w:tcPr>
          <w:p>
            <w:pPr>
              <w:spacing w:after="0"/>
            </w:pPr>
            <w:r/>
            <w:r>
              <w:rPr>
                <w:b/>
                <w:sz w:val="18"/>
              </w:rPr>
              <w:t>Value</w:t>
            </w:r>
          </w:p>
        </w:tc>
      </w:tr>
      <w:tr>
        <w:tc>
          <w:tcPr>
            <w:tcW w:type="dxa" w:w="5112"/>
            <w:vAlign w:val="center"/>
          </w:tcPr>
          <w:p>
            <w:pPr>
              <w:spacing w:after="0"/>
            </w:pPr>
            <w:r/>
            <w:r>
              <w:rPr>
                <w:b w:val="0"/>
                <w:sz w:val="17"/>
              </w:rPr>
              <w:t>Reviewed CyberSentinel branch</w:t>
            </w:r>
          </w:p>
        </w:tc>
        <w:tc>
          <w:tcPr>
            <w:tcW w:type="dxa" w:w="5112"/>
            <w:vAlign w:val="center"/>
          </w:tcPr>
          <w:p>
            <w:pPr>
              <w:spacing w:after="0"/>
            </w:pPr>
            <w:r/>
            <w:r>
              <w:rPr>
                <w:b w:val="0"/>
                <w:sz w:val="17"/>
              </w:rPr>
              <w:t>DWM-and-Neural-Remaining</w:t>
            </w:r>
          </w:p>
        </w:tc>
      </w:tr>
      <w:tr>
        <w:tc>
          <w:tcPr>
            <w:tcW w:type="dxa" w:w="5112"/>
            <w:vAlign w:val="center"/>
          </w:tcPr>
          <w:p>
            <w:pPr>
              <w:spacing w:after="0"/>
            </w:pPr>
            <w:r/>
            <w:r>
              <w:rPr>
                <w:b w:val="0"/>
                <w:sz w:val="17"/>
              </w:rPr>
              <w:t>Reference paper</w:t>
            </w:r>
          </w:p>
        </w:tc>
        <w:tc>
          <w:tcPr>
            <w:tcW w:type="dxa" w:w="5112"/>
            <w:vAlign w:val="center"/>
          </w:tcPr>
          <w:p>
            <w:pPr>
              <w:spacing w:after="0"/>
            </w:pPr>
            <w:r/>
            <w:r>
              <w:rPr>
                <w:b w:val="0"/>
                <w:sz w:val="17"/>
              </w:rPr>
              <w:t>François, Arduin &amp; Merad, J. Cybersecur. Priv. 2025, 5(2), 15</w:t>
            </w:r>
          </w:p>
        </w:tc>
      </w:tr>
      <w:tr>
        <w:tc>
          <w:tcPr>
            <w:tcW w:type="dxa" w:w="5112"/>
            <w:vAlign w:val="center"/>
          </w:tcPr>
          <w:p>
            <w:pPr>
              <w:spacing w:after="0"/>
            </w:pPr>
            <w:r/>
            <w:r>
              <w:rPr>
                <w:b w:val="0"/>
                <w:sz w:val="17"/>
              </w:rPr>
              <w:t>Reference repository</w:t>
            </w:r>
          </w:p>
        </w:tc>
        <w:tc>
          <w:tcPr>
            <w:tcW w:type="dxa" w:w="5112"/>
            <w:vAlign w:val="center"/>
          </w:tcPr>
          <w:p>
            <w:pPr>
              <w:spacing w:after="0"/>
            </w:pPr>
            <w:r/>
            <w:r>
              <w:rPr>
                <w:b w:val="0"/>
                <w:sz w:val="17"/>
              </w:rPr>
              <w:t>Official PIGNN replication package</w:t>
            </w:r>
          </w:p>
        </w:tc>
      </w:tr>
      <w:tr>
        <w:tc>
          <w:tcPr>
            <w:tcW w:type="dxa" w:w="5112"/>
            <w:vAlign w:val="center"/>
          </w:tcPr>
          <w:p>
            <w:pPr>
              <w:spacing w:after="0"/>
            </w:pPr>
            <w:r/>
            <w:r>
              <w:rPr>
                <w:b w:val="0"/>
                <w:sz w:val="17"/>
              </w:rPr>
              <w:t>Primary implementation target</w:t>
            </w:r>
          </w:p>
        </w:tc>
        <w:tc>
          <w:tcPr>
            <w:tcW w:type="dxa" w:w="5112"/>
            <w:vAlign w:val="center"/>
          </w:tcPr>
          <w:p>
            <w:pPr>
              <w:spacing w:after="0"/>
            </w:pPr>
            <w:r/>
            <w:r>
              <w:rPr>
                <w:b w:val="0"/>
                <w:sz w:val="17"/>
              </w:rPr>
              <w:t>Full-path PIGNN; start/end classifier is future work</w:t>
            </w:r>
          </w:p>
        </w:tc>
      </w:tr>
      <w:tr>
        <w:tc>
          <w:tcPr>
            <w:tcW w:type="dxa" w:w="5112"/>
            <w:vAlign w:val="center"/>
          </w:tcPr>
          <w:p>
            <w:pPr>
              <w:spacing w:after="0"/>
            </w:pPr>
            <w:r/>
            <w:r>
              <w:rPr>
                <w:b w:val="0"/>
                <w:sz w:val="17"/>
              </w:rPr>
              <w:t>Key integration principle</w:t>
            </w:r>
          </w:p>
        </w:tc>
        <w:tc>
          <w:tcPr>
            <w:tcW w:type="dxa" w:w="5112"/>
            <w:vAlign w:val="center"/>
          </w:tcPr>
          <w:p>
            <w:pPr>
              <w:spacing w:after="0"/>
            </w:pPr>
            <w:r/>
            <w:r>
              <w:rPr>
                <w:b w:val="0"/>
                <w:sz w:val="17"/>
              </w:rPr>
              <w:t>PIGNN predicts path structure; DWM supplies contextual risk</w:t>
            </w:r>
          </w:p>
        </w:tc>
      </w:tr>
    </w:tbl>
    <w:p>
      <w:pPr>
        <w:spacing w:after="0"/>
      </w:pPr>
    </w:p>
    <w:p>
      <w:pPr>
        <w:jc w:val="center"/>
      </w:pPr>
      <w:r>
        <w:rPr>
          <w:b/>
          <w:sz w:val="22"/>
        </w:rPr>
        <w:t>Source links</w:t>
      </w:r>
    </w:p>
    <w:p>
      <w:r>
        <w:rPr>
          <w:b/>
        </w:rPr>
        <w:t xml:space="preserve">Paper: </w:t>
      </w:r>
      <w:r>
        <w:t>https://www.mdpi.com/2624-800X/5/2/15</w:t>
      </w:r>
    </w:p>
    <w:p>
      <w:r>
        <w:rPr>
          <w:b/>
        </w:rPr>
        <w:t xml:space="preserve">DOI: </w:t>
      </w:r>
      <w:r>
        <w:t>https://doi.org/10.3390/jcp5020015</w:t>
      </w:r>
    </w:p>
    <w:p>
      <w:r>
        <w:rPr>
          <w:b/>
        </w:rPr>
        <w:t xml:space="preserve">Replication repo: </w:t>
      </w:r>
      <w:r>
        <w:t>https://github.com/mbdlrocks/PhD_Replication_Package/tree/master/Physics-Informed-GNN%20(PIGNN)</w:t>
      </w:r>
    </w:p>
    <w:p>
      <w:r>
        <w:rPr>
          <w:b/>
        </w:rPr>
        <w:t xml:space="preserve">CyberSentinel branch reviewed: </w:t>
      </w:r>
      <w:r>
        <w:t>https://github.com/YashWaghmare2206/CyberSentinel/tree/DWM-and-Neural-Remaining</w:t>
      </w:r>
    </w:p>
    <w:p>
      <w:r>
        <w:br w:type="page"/>
      </w:r>
    </w:p>
    <w:p>
      <w:pPr>
        <w:pStyle w:val="Heading1"/>
        <w:keepNext/>
      </w:pPr>
      <w:r>
        <w:t>Contents</w:t>
      </w:r>
    </w:p>
    <w:p>
      <w:pPr>
        <w:pStyle w:val="ListBullet"/>
        <w:spacing w:after="60"/>
      </w:pPr>
      <w:r>
        <w:t>1. Executive decision</w:t>
      </w:r>
    </w:p>
    <w:p>
      <w:pPr>
        <w:pStyle w:val="ListBullet"/>
        <w:spacing w:after="60"/>
      </w:pPr>
      <w:r>
        <w:t>2. Current CyberSentinel architecture and DWM baseline</w:t>
      </w:r>
    </w:p>
    <w:p>
      <w:pPr>
        <w:pStyle w:val="ListBullet"/>
        <w:spacing w:after="60"/>
      </w:pPr>
      <w:r>
        <w:t>3. What the PIGNN paper actually provides</w:t>
      </w:r>
    </w:p>
    <w:p>
      <w:pPr>
        <w:pStyle w:val="ListBullet"/>
        <w:spacing w:after="60"/>
      </w:pPr>
      <w:r>
        <w:t>4. What the reference repository provides</w:t>
      </w:r>
    </w:p>
    <w:p>
      <w:pPr>
        <w:pStyle w:val="ListBullet"/>
        <w:spacing w:after="60"/>
      </w:pPr>
      <w:r>
        <w:t>5. What we reuse vs change</w:t>
      </w:r>
    </w:p>
    <w:p>
      <w:pPr>
        <w:pStyle w:val="ListBullet"/>
        <w:spacing w:after="60"/>
      </w:pPr>
      <w:r>
        <w:t>6. CyberSentinel PIGNN architecture</w:t>
      </w:r>
    </w:p>
    <w:p>
      <w:pPr>
        <w:pStyle w:val="ListBullet"/>
        <w:spacing w:after="60"/>
      </w:pPr>
      <w:r>
        <w:t>7. Data model and feature schema</w:t>
      </w:r>
    </w:p>
    <w:p>
      <w:pPr>
        <w:pStyle w:val="ListBullet"/>
        <w:spacing w:after="60"/>
      </w:pPr>
      <w:r>
        <w:t>8. DWM + PIGNN integration</w:t>
      </w:r>
    </w:p>
    <w:p>
      <w:pPr>
        <w:pStyle w:val="ListBullet"/>
        <w:spacing w:after="60"/>
      </w:pPr>
      <w:r>
        <w:t>9. Training-data strategy</w:t>
      </w:r>
    </w:p>
    <w:p>
      <w:pPr>
        <w:pStyle w:val="ListBullet"/>
        <w:spacing w:after="60"/>
      </w:pPr>
      <w:r>
        <w:t>10. Training pipeline</w:t>
      </w:r>
    </w:p>
    <w:p>
      <w:pPr>
        <w:pStyle w:val="ListBullet"/>
        <w:spacing w:after="60"/>
      </w:pPr>
      <w:r>
        <w:t>11. Inference and path decoding</w:t>
      </w:r>
    </w:p>
    <w:p>
      <w:pPr>
        <w:pStyle w:val="ListBullet"/>
        <w:spacing w:after="60"/>
      </w:pPr>
      <w:r>
        <w:t>12. Backend/API integration</w:t>
      </w:r>
    </w:p>
    <w:p>
      <w:pPr>
        <w:pStyle w:val="ListBullet"/>
        <w:spacing w:after="60"/>
      </w:pPr>
      <w:r>
        <w:t>13. Frontend integration</w:t>
      </w:r>
    </w:p>
    <w:p>
      <w:pPr>
        <w:pStyle w:val="ListBullet"/>
        <w:spacing w:after="60"/>
      </w:pPr>
      <w:r>
        <w:t>14. Evaluation, ablation and research evidence</w:t>
      </w:r>
    </w:p>
    <w:p>
      <w:pPr>
        <w:pStyle w:val="ListBullet"/>
        <w:spacing w:after="60"/>
      </w:pPr>
      <w:r>
        <w:t>15. Proposed repository changes</w:t>
      </w:r>
    </w:p>
    <w:p>
      <w:pPr>
        <w:pStyle w:val="ListBullet"/>
        <w:spacing w:after="60"/>
      </w:pPr>
      <w:r>
        <w:t>16. Implementation milestones</w:t>
      </w:r>
    </w:p>
    <w:p>
      <w:pPr>
        <w:pStyle w:val="ListBullet"/>
        <w:spacing w:after="60"/>
      </w:pPr>
      <w:r>
        <w:t>17. Edge cases and failure handling</w:t>
      </w:r>
    </w:p>
    <w:p>
      <w:pPr>
        <w:pStyle w:val="ListBullet"/>
        <w:spacing w:after="60"/>
      </w:pPr>
      <w:r>
        <w:t>18. Acceptance criteria</w:t>
      </w:r>
    </w:p>
    <w:p>
      <w:pPr>
        <w:pStyle w:val="ListBullet"/>
        <w:spacing w:after="60"/>
      </w:pPr>
      <w:r>
        <w:t>19. Final implementation checklist</w:t>
      </w:r>
    </w:p>
    <w:p>
      <w:pPr>
        <w:pStyle w:val="ListBullet"/>
        <w:spacing w:after="60"/>
      </w:pPr>
      <w:r>
        <w:t>20. References</w:t>
      </w:r>
    </w:p>
    <w:p>
      <w:r>
        <w:br w:type="page"/>
      </w:r>
    </w:p>
    <w:p>
      <w:pPr>
        <w:pStyle w:val="Heading1"/>
        <w:keepNext/>
      </w:pPr>
      <w:r>
        <w:t>1. Executive decision</w:t>
      </w:r>
    </w:p>
    <w:p>
      <w:r>
        <w:t>CyberSentinel should add a full-path PIGNN as a fourth attack-path engine rather than replacing the current graph engine. The reference implementation is not an image model and does not require path screenshots. It consumes graph tensors and learns to predict a path adjacency matrix.</w:t>
      </w:r>
    </w:p>
    <w:p>
      <w:pPr>
        <w:pStyle w:val="CodeBlock"/>
      </w:pPr>
      <w:r>
        <w:t>CyberSentinel attack-path engines</w:t>
        <w:br/>
        <w:br/>
        <w:t>Dijkstra  ─┐</w:t>
        <w:br/>
        <w:t>A*        ─┼─&gt; candidate attack paths ─&gt; risk/MITRE/LLM/fixes</w:t>
        <w:br/>
        <w:t>ML-weighted┤</w:t>
        <w:br/>
        <w:t>PIGNN     ─┘</w:t>
        <w:br/>
        <w:br/>
        <w:t>PIGNN path prediction:</w:t>
        <w:br/>
        <w:t>network graph + node features + typed edges</w:t>
        <w:br/>
        <w:t xml:space="preserve">             ↓</w:t>
        <w:br/>
        <w:t xml:space="preserve">       GraphSAGE encoder</w:t>
        <w:br/>
        <w:t xml:space="preserve">             ↓</w:t>
        <w:br/>
        <w:t xml:space="preserve">       DNN/MLP path head</w:t>
        <w:br/>
        <w:t xml:space="preserve">             ↓</w:t>
        <w:br/>
        <w:t xml:space="preserve">       Y_hat (N x N probabilities)</w:t>
        <w:br/>
        <w:t xml:space="preserve">             ↓</w:t>
        <w:br/>
        <w:t xml:space="preserve">       CyberSentinel path decoder</w:t>
        <w:br/>
        <w:t xml:space="preserve">             ↓</w:t>
        <w:br/>
        <w:t xml:space="preserve">       selected path</w:t>
      </w:r>
    </w:p>
    <w:p>
      <w:pPr>
        <w:pStyle w:val="Heading2"/>
        <w:keepNext/>
      </w:pPr>
      <w:r>
        <w:t>What stays unchanged</w:t>
      </w:r>
    </w:p>
    <w:p>
      <w:pPr>
        <w:pStyle w:val="ListBullet"/>
        <w:spacing w:after="60"/>
      </w:pPr>
      <w:r>
        <w:t>The existing NetworkX graph construction remains the source of topology truth.</w:t>
      </w:r>
    </w:p>
    <w:p>
      <w:pPr>
        <w:pStyle w:val="ListBullet"/>
        <w:spacing w:after="60"/>
      </w:pPr>
      <w:r>
        <w:t>DWM remains the contextual CVSS/risk layer described in the Phase 2 plan.</w:t>
      </w:r>
    </w:p>
    <w:p>
      <w:pPr>
        <w:pStyle w:val="ListBullet"/>
        <w:spacing w:after="60"/>
      </w:pPr>
      <w:r>
        <w:t>MITRE mapping, LLM narrative streaming, SafetyCard/FixPanel and React visualization remain downstream of a selected path.</w:t>
      </w:r>
    </w:p>
    <w:p>
      <w:pPr>
        <w:pStyle w:val="ListBullet"/>
        <w:spacing w:after="60"/>
      </w:pPr>
      <w:r>
        <w:t>Dijkstra/A* remain classical baselines and fallbacks.</w:t>
      </w:r>
    </w:p>
    <w:p>
      <w:pPr>
        <w:pStyle w:val="Heading2"/>
        <w:keepNext/>
      </w:pPr>
      <w:r>
        <w:t>What is added</w:t>
      </w:r>
    </w:p>
    <w:p>
      <w:pPr>
        <w:pStyle w:val="ListBullet"/>
        <w:spacing w:after="60"/>
      </w:pPr>
      <w:r>
        <w:t>A maintainable Python PIGNN implementation extracted from the reference notebook.</w:t>
      </w:r>
    </w:p>
    <w:p>
      <w:pPr>
        <w:pStyle w:val="ListBullet"/>
        <w:spacing w:after="60"/>
      </w:pPr>
      <w:r>
        <w:t>A graph-to-tensor preprocessing pipeline for CyberSentinel.</w:t>
      </w:r>
    </w:p>
    <w:p>
      <w:pPr>
        <w:pStyle w:val="ListBullet"/>
        <w:spacing w:after="60"/>
      </w:pPr>
      <w:r>
        <w:t>A training dataset generator/validator for banking networks.</w:t>
      </w:r>
    </w:p>
    <w:p>
      <w:pPr>
        <w:pStyle w:val="ListBullet"/>
        <w:spacing w:after="60"/>
      </w:pPr>
      <w:r>
        <w:t>A probability-matrix decoder that converts PIGNN output into a valid CyberSentinel path.</w:t>
      </w:r>
    </w:p>
    <w:p>
      <w:pPr>
        <w:pStyle w:val="ListBullet"/>
        <w:spacing w:after="60"/>
      </w:pPr>
      <w:r>
        <w:t>An `algorithm="pignn"` backend option and a matching frontend option.</w:t>
      </w:r>
    </w:p>
    <w:p>
      <w:pPr>
        <w:pStyle w:val="Heading1"/>
        <w:keepNext/>
      </w:pPr>
      <w:r>
        <w:t>2. Current CyberSentinel architecture and DWM baseline</w:t>
      </w:r>
    </w:p>
    <w:p>
      <w:r>
        <w:t>The reviewed branch already contains the architecture needed for a clean PIGNN insertion point. `backend/graph.py` builds a directed NetworkX graph from per-network `network.json` and `cves.json`, groups CVEs by node, computes node CVSS metadata, and supports static, DWM and ML weighting. The simulation API already forwards `network_id`, `algorithm`, `weighting_mode`, `path_index` and `top_k` to the backend.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8"/>
              </w:rPr>
              <w:t>Current component</w:t>
            </w:r>
          </w:p>
        </w:tc>
        <w:tc>
          <w:tcPr>
            <w:tcW w:type="dxa" w:w="3408"/>
            <w:vAlign w:val="center"/>
            <w:shd w:fill="D9EAF7"/>
          </w:tcPr>
          <w:p>
            <w:pPr>
              <w:spacing w:after="0"/>
            </w:pPr>
            <w:r/>
            <w:r>
              <w:rPr>
                <w:b/>
                <w:sz w:val="18"/>
              </w:rPr>
              <w:t>Role today</w:t>
            </w:r>
          </w:p>
        </w:tc>
        <w:tc>
          <w:tcPr>
            <w:tcW w:type="dxa" w:w="3408"/>
            <w:vAlign w:val="center"/>
            <w:shd w:fill="D9EAF7"/>
          </w:tcPr>
          <w:p>
            <w:pPr>
              <w:spacing w:after="0"/>
            </w:pPr>
            <w:r/>
            <w:r>
              <w:rPr>
                <w:b/>
                <w:sz w:val="18"/>
              </w:rPr>
              <w:t>PIGNN relationship</w:t>
            </w:r>
          </w:p>
        </w:tc>
      </w:tr>
      <w:tr>
        <w:tc>
          <w:tcPr>
            <w:tcW w:type="dxa" w:w="3408"/>
            <w:vAlign w:val="center"/>
          </w:tcPr>
          <w:p>
            <w:pPr>
              <w:spacing w:after="0"/>
            </w:pPr>
            <w:r/>
            <w:r>
              <w:rPr>
                <w:b w:val="0"/>
                <w:sz w:val="17"/>
              </w:rPr>
              <w:t>backend/graph.py</w:t>
            </w:r>
          </w:p>
        </w:tc>
        <w:tc>
          <w:tcPr>
            <w:tcW w:type="dxa" w:w="3408"/>
            <w:vAlign w:val="center"/>
          </w:tcPr>
          <w:p>
            <w:pPr>
              <w:spacing w:after="0"/>
            </w:pPr>
            <w:r/>
            <w:r>
              <w:rPr>
                <w:b w:val="0"/>
                <w:sz w:val="17"/>
              </w:rPr>
              <w:t>Builds graph and classical paths</w:t>
            </w:r>
          </w:p>
        </w:tc>
        <w:tc>
          <w:tcPr>
            <w:tcW w:type="dxa" w:w="3408"/>
            <w:vAlign w:val="center"/>
          </w:tcPr>
          <w:p>
            <w:pPr>
              <w:spacing w:after="0"/>
            </w:pPr>
            <w:r/>
            <w:r>
              <w:rPr>
                <w:b w:val="0"/>
                <w:sz w:val="17"/>
              </w:rPr>
              <w:t>Becomes the canonical graph/metadata source for PIGNN preprocessing and path validation.</w:t>
            </w:r>
          </w:p>
        </w:tc>
      </w:tr>
      <w:tr>
        <w:tc>
          <w:tcPr>
            <w:tcW w:type="dxa" w:w="3408"/>
            <w:vAlign w:val="center"/>
          </w:tcPr>
          <w:p>
            <w:pPr>
              <w:spacing w:after="0"/>
            </w:pPr>
            <w:r/>
            <w:r>
              <w:rPr>
                <w:b w:val="0"/>
                <w:sz w:val="17"/>
              </w:rPr>
              <w:t>backend/dwm_scorer.py</w:t>
            </w:r>
          </w:p>
        </w:tc>
        <w:tc>
          <w:tcPr>
            <w:tcW w:type="dxa" w:w="3408"/>
            <w:vAlign w:val="center"/>
          </w:tcPr>
          <w:p>
            <w:pPr>
              <w:spacing w:after="0"/>
            </w:pPr>
            <w:r/>
            <w:r>
              <w:rPr>
                <w:b w:val="0"/>
                <w:sz w:val="17"/>
              </w:rPr>
              <w:t>Temporal/environmental contextual score</w:t>
            </w:r>
          </w:p>
        </w:tc>
        <w:tc>
          <w:tcPr>
            <w:tcW w:type="dxa" w:w="3408"/>
            <w:vAlign w:val="center"/>
          </w:tcPr>
          <w:p>
            <w:pPr>
              <w:spacing w:after="0"/>
            </w:pPr>
            <w:r/>
            <w:r>
              <w:rPr>
                <w:b w:val="0"/>
                <w:sz w:val="17"/>
              </w:rPr>
              <w:t>Feeds contextual features and remains the downstream risk calculation.</w:t>
            </w:r>
          </w:p>
        </w:tc>
      </w:tr>
      <w:tr>
        <w:tc>
          <w:tcPr>
            <w:tcW w:type="dxa" w:w="3408"/>
            <w:vAlign w:val="center"/>
          </w:tcPr>
          <w:p>
            <w:pPr>
              <w:spacing w:after="0"/>
            </w:pPr>
            <w:r/>
            <w:r>
              <w:rPr>
                <w:b w:val="0"/>
                <w:sz w:val="17"/>
              </w:rPr>
              <w:t>backend/ml_scorer.py</w:t>
            </w:r>
          </w:p>
        </w:tc>
        <w:tc>
          <w:tcPr>
            <w:tcW w:type="dxa" w:w="3408"/>
            <w:vAlign w:val="center"/>
          </w:tcPr>
          <w:p>
            <w:pPr>
              <w:spacing w:after="0"/>
            </w:pPr>
            <w:r/>
            <w:r>
              <w:rPr>
                <w:b w:val="0"/>
                <w:sz w:val="17"/>
              </w:rPr>
              <w:t>Logistic edge-weight baseline</w:t>
            </w:r>
          </w:p>
        </w:tc>
        <w:tc>
          <w:tcPr>
            <w:tcW w:type="dxa" w:w="3408"/>
            <w:vAlign w:val="center"/>
          </w:tcPr>
          <w:p>
            <w:pPr>
              <w:spacing w:after="0"/>
            </w:pPr>
            <w:r/>
            <w:r>
              <w:rPr>
                <w:b w:val="0"/>
                <w:sz w:val="17"/>
              </w:rPr>
              <w:t>Remains a classical baseline; not part of the PIGNN core.</w:t>
            </w:r>
          </w:p>
        </w:tc>
      </w:tr>
      <w:tr>
        <w:tc>
          <w:tcPr>
            <w:tcW w:type="dxa" w:w="3408"/>
            <w:vAlign w:val="center"/>
          </w:tcPr>
          <w:p>
            <w:pPr>
              <w:spacing w:after="0"/>
            </w:pPr>
            <w:r/>
            <w:r>
              <w:rPr>
                <w:b w:val="0"/>
                <w:sz w:val="17"/>
              </w:rPr>
              <w:t>main.py / /simulate</w:t>
            </w:r>
          </w:p>
        </w:tc>
        <w:tc>
          <w:tcPr>
            <w:tcW w:type="dxa" w:w="3408"/>
            <w:vAlign w:val="center"/>
          </w:tcPr>
          <w:p>
            <w:pPr>
              <w:spacing w:after="0"/>
            </w:pPr>
            <w:r/>
            <w:r>
              <w:rPr>
                <w:b w:val="0"/>
                <w:sz w:val="17"/>
              </w:rPr>
              <w:t>Simulation API + SSE</w:t>
            </w:r>
          </w:p>
        </w:tc>
        <w:tc>
          <w:tcPr>
            <w:tcW w:type="dxa" w:w="3408"/>
            <w:vAlign w:val="center"/>
          </w:tcPr>
          <w:p>
            <w:pPr>
              <w:spacing w:after="0"/>
            </w:pPr>
            <w:r/>
            <w:r>
              <w:rPr>
                <w:b w:val="0"/>
                <w:sz w:val="17"/>
              </w:rPr>
              <w:t>Dispatches `algorithm="pignn"` to PIGNN inference.</w:t>
            </w:r>
          </w:p>
        </w:tc>
      </w:tr>
      <w:tr>
        <w:tc>
          <w:tcPr>
            <w:tcW w:type="dxa" w:w="3408"/>
            <w:vAlign w:val="center"/>
          </w:tcPr>
          <w:p>
            <w:pPr>
              <w:spacing w:after="0"/>
            </w:pPr>
            <w:r/>
            <w:r>
              <w:rPr>
                <w:b w:val="0"/>
                <w:sz w:val="17"/>
              </w:rPr>
              <w:t>frontend/src/api/simulate.js</w:t>
            </w:r>
          </w:p>
        </w:tc>
        <w:tc>
          <w:tcPr>
            <w:tcW w:type="dxa" w:w="3408"/>
            <w:vAlign w:val="center"/>
          </w:tcPr>
          <w:p>
            <w:pPr>
              <w:spacing w:after="0"/>
            </w:pPr>
            <w:r/>
            <w:r>
              <w:rPr>
                <w:b w:val="0"/>
                <w:sz w:val="17"/>
              </w:rPr>
              <w:t>SSE client + local fallback</w:t>
            </w:r>
          </w:p>
        </w:tc>
        <w:tc>
          <w:tcPr>
            <w:tcW w:type="dxa" w:w="3408"/>
            <w:vAlign w:val="center"/>
          </w:tcPr>
          <w:p>
            <w:pPr>
              <w:spacing w:after="0"/>
            </w:pPr>
            <w:r/>
            <w:r>
              <w:rPr>
                <w:b w:val="0"/>
                <w:sz w:val="17"/>
              </w:rPr>
              <w:t>Adds PIGNN request flag and explicit algorithm-used/fallback reporting.</w:t>
            </w:r>
          </w:p>
        </w:tc>
      </w:tr>
      <w:tr>
        <w:tc>
          <w:tcPr>
            <w:tcW w:type="dxa" w:w="3408"/>
            <w:vAlign w:val="center"/>
          </w:tcPr>
          <w:p>
            <w:pPr>
              <w:spacing w:after="0"/>
            </w:pPr>
            <w:r/>
            <w:r>
              <w:rPr>
                <w:b w:val="0"/>
                <w:sz w:val="17"/>
              </w:rPr>
              <w:t>useSimulation.js</w:t>
            </w:r>
          </w:p>
        </w:tc>
        <w:tc>
          <w:tcPr>
            <w:tcW w:type="dxa" w:w="3408"/>
            <w:vAlign w:val="center"/>
          </w:tcPr>
          <w:p>
            <w:pPr>
              <w:spacing w:after="0"/>
            </w:pPr>
            <w:r/>
            <w:r>
              <w:rPr>
                <w:b w:val="0"/>
                <w:sz w:val="17"/>
              </w:rPr>
              <w:t>Simulation orchestration</w:t>
            </w:r>
          </w:p>
        </w:tc>
        <w:tc>
          <w:tcPr>
            <w:tcW w:type="dxa" w:w="3408"/>
            <w:vAlign w:val="center"/>
          </w:tcPr>
          <w:p>
            <w:pPr>
              <w:spacing w:after="0"/>
            </w:pPr>
            <w:r/>
            <w:r>
              <w:rPr>
                <w:b w:val="0"/>
                <w:sz w:val="17"/>
              </w:rPr>
              <w:t>Stores PIGNN path/confidence metadata the same way it stores current paths.</w:t>
            </w:r>
          </w:p>
        </w:tc>
      </w:tr>
      <w:tr>
        <w:tc>
          <w:tcPr>
            <w:tcW w:type="dxa" w:w="3408"/>
            <w:vAlign w:val="center"/>
          </w:tcPr>
          <w:p>
            <w:pPr>
              <w:spacing w:after="0"/>
            </w:pPr>
            <w:r/>
            <w:r>
              <w:rPr>
                <w:b w:val="0"/>
                <w:sz w:val="17"/>
              </w:rPr>
              <w:t>NetworkGraph / PathList</w:t>
            </w:r>
          </w:p>
        </w:tc>
        <w:tc>
          <w:tcPr>
            <w:tcW w:type="dxa" w:w="3408"/>
            <w:vAlign w:val="center"/>
          </w:tcPr>
          <w:p>
            <w:pPr>
              <w:spacing w:after="0"/>
            </w:pPr>
            <w:r/>
            <w:r>
              <w:rPr>
                <w:b w:val="0"/>
                <w:sz w:val="17"/>
              </w:rPr>
              <w:t>Visual path presentation</w:t>
            </w:r>
          </w:p>
        </w:tc>
        <w:tc>
          <w:tcPr>
            <w:tcW w:type="dxa" w:w="3408"/>
            <w:vAlign w:val="center"/>
          </w:tcPr>
          <w:p>
            <w:pPr>
              <w:spacing w:after="0"/>
            </w:pPr>
            <w:r/>
            <w:r>
              <w:rPr>
                <w:b w:val="0"/>
                <w:sz w:val="17"/>
              </w:rPr>
              <w:t>Renders PIGNN-selected path with the same highlighting/animation.</w:t>
            </w:r>
          </w:p>
        </w:tc>
      </w:tr>
    </w:tbl>
    <w:p>
      <w:pPr>
        <w:spacing w:after="0"/>
      </w:pPr>
    </w:p>
    <w:p>
      <w:pPr>
        <w:pStyle w:val="Heading2"/>
        <w:keepNext/>
      </w:pPr>
      <w:r>
        <w:t>DWM contract to preserve</w:t>
      </w:r>
    </w:p>
    <w:p>
      <w:pPr>
        <w:pStyle w:val="CodeBlock"/>
      </w:pPr>
      <w:r>
        <w:t>Base CVSS (NVD)</w:t>
        <w:br/>
        <w:t xml:space="preserve">      + temporal factors</w:t>
        <w:br/>
        <w:t xml:space="preserve">      + environmental exposure</w:t>
        <w:br/>
        <w:t xml:space="preserve">      ↓</w:t>
        <w:br/>
        <w:t>Contextual / adjusted score</w:t>
        <w:br/>
        <w:t xml:space="preserve">      ↓</w:t>
        <w:br/>
        <w:t>inverted graph edge weight (10 - adjusted)</w:t>
        <w:br/>
        <w:br/>
        <w:t>Important: the official NVD base score remains visible and untouched.</w:t>
      </w:r>
    </w:p>
    <w:p>
      <w:r>
        <w:t>The Phase 2 plan explicitly defines DWM as CVSS Base + Temporal + Environmental context, and the existing code implements the additional fields `kev_listed`, `days_since_published`, `patch_available` and node `exposure`. The same plan defines the existing learned ML-weighted option as a lightweight logistic/gradient-boosted scorer rather than a deep-learning path planner. For this PIGNN plan, the neural model is therefore a new engine, not a rewrite of that earlier ML scorer. (See CyberSentinel Phase 2 Plan, Sections 4.4-4.5.)</w:t>
      </w:r>
    </w:p>
    <w:p>
      <w:pPr>
        <w:pStyle w:val="Heading1"/>
        <w:keepNext/>
      </w:pPr>
      <w:r>
        <w:t>3. What the PIGNN paper actually provides</w:t>
      </w:r>
    </w:p>
    <w:p>
      <w:r>
        <w:t>The 2025 paper introduces a Physics-Informed Graph Neural Network for full-path prediction. It frames the input as a graph with typed adjacency and node features, and the target as a binary adjacency matrix representing edges belonging to the attack path. The paper reports 1,033 synthetic environment graphs and uses graph-theoretic penalties to constrain predicted paths.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8"/>
              </w:rPr>
              <w:t>Research element</w:t>
            </w:r>
          </w:p>
        </w:tc>
        <w:tc>
          <w:tcPr>
            <w:tcW w:type="dxa" w:w="3408"/>
            <w:vAlign w:val="center"/>
            <w:shd w:fill="D9EAF7"/>
          </w:tcPr>
          <w:p>
            <w:pPr>
              <w:spacing w:after="0"/>
            </w:pPr>
            <w:r/>
            <w:r>
              <w:rPr>
                <w:b/>
                <w:sz w:val="18"/>
              </w:rPr>
              <w:t>Paper / repo behavior</w:t>
            </w:r>
          </w:p>
        </w:tc>
        <w:tc>
          <w:tcPr>
            <w:tcW w:type="dxa" w:w="3408"/>
            <w:vAlign w:val="center"/>
            <w:shd w:fill="D9EAF7"/>
          </w:tcPr>
          <w:p>
            <w:pPr>
              <w:spacing w:after="0"/>
            </w:pPr>
            <w:r/>
            <w:r>
              <w:rPr>
                <w:b/>
                <w:sz w:val="18"/>
              </w:rPr>
              <w:t>CyberSentinel interpretation</w:t>
            </w:r>
          </w:p>
        </w:tc>
      </w:tr>
      <w:tr>
        <w:tc>
          <w:tcPr>
            <w:tcW w:type="dxa" w:w="3408"/>
            <w:vAlign w:val="center"/>
          </w:tcPr>
          <w:p>
            <w:pPr>
              <w:spacing w:after="0"/>
            </w:pPr>
            <w:r/>
            <w:r>
              <w:rPr>
                <w:b w:val="0"/>
                <w:sz w:val="17"/>
              </w:rPr>
              <w:t>Input</w:t>
            </w:r>
          </w:p>
        </w:tc>
        <w:tc>
          <w:tcPr>
            <w:tcW w:type="dxa" w:w="3408"/>
            <w:vAlign w:val="center"/>
          </w:tcPr>
          <w:p>
            <w:pPr>
              <w:spacing w:after="0"/>
            </w:pPr>
            <w:r/>
            <w:r>
              <w:rPr>
                <w:b w:val="0"/>
                <w:sz w:val="17"/>
              </w:rPr>
              <w:t>Adjacency tensor A + feature matrix F</w:t>
            </w:r>
          </w:p>
        </w:tc>
        <w:tc>
          <w:tcPr>
            <w:tcW w:type="dxa" w:w="3408"/>
            <w:vAlign w:val="center"/>
          </w:tcPr>
          <w:p>
            <w:pPr>
              <w:spacing w:after="0"/>
            </w:pPr>
            <w:r/>
            <w:r>
              <w:rPr>
                <w:b w:val="0"/>
                <w:sz w:val="17"/>
              </w:rPr>
              <w:t>Network topology + typed edges + banking/CVE/DWM node features</w:t>
            </w:r>
          </w:p>
        </w:tc>
      </w:tr>
      <w:tr>
        <w:tc>
          <w:tcPr>
            <w:tcW w:type="dxa" w:w="3408"/>
            <w:vAlign w:val="center"/>
          </w:tcPr>
          <w:p>
            <w:pPr>
              <w:spacing w:after="0"/>
            </w:pPr>
            <w:r/>
            <w:r>
              <w:rPr>
                <w:b w:val="0"/>
                <w:sz w:val="17"/>
              </w:rPr>
              <w:t>Target</w:t>
            </w:r>
          </w:p>
        </w:tc>
        <w:tc>
          <w:tcPr>
            <w:tcW w:type="dxa" w:w="3408"/>
            <w:vAlign w:val="center"/>
          </w:tcPr>
          <w:p>
            <w:pPr>
              <w:spacing w:after="0"/>
            </w:pPr>
            <w:r/>
            <w:r>
              <w:rPr>
                <w:b w:val="0"/>
                <w:sz w:val="17"/>
              </w:rPr>
              <w:t>Y in R^(N x N); 1 means edge belongs to attack path</w:t>
            </w:r>
          </w:p>
        </w:tc>
        <w:tc>
          <w:tcPr>
            <w:tcW w:type="dxa" w:w="3408"/>
            <w:vAlign w:val="center"/>
          </w:tcPr>
          <w:p>
            <w:pPr>
              <w:spacing w:after="0"/>
            </w:pPr>
            <w:r/>
            <w:r>
              <w:rPr>
                <w:b w:val="0"/>
                <w:sz w:val="17"/>
              </w:rPr>
              <w:t>Ground-truth banking attack-path edge matrix</w:t>
            </w:r>
          </w:p>
        </w:tc>
      </w:tr>
      <w:tr>
        <w:tc>
          <w:tcPr>
            <w:tcW w:type="dxa" w:w="3408"/>
            <w:vAlign w:val="center"/>
          </w:tcPr>
          <w:p>
            <w:pPr>
              <w:spacing w:after="0"/>
            </w:pPr>
            <w:r/>
            <w:r>
              <w:rPr>
                <w:b w:val="0"/>
                <w:sz w:val="17"/>
              </w:rPr>
              <w:t>Graph encoder</w:t>
            </w:r>
          </w:p>
        </w:tc>
        <w:tc>
          <w:tcPr>
            <w:tcW w:type="dxa" w:w="3408"/>
            <w:vAlign w:val="center"/>
          </w:tcPr>
          <w:p>
            <w:pPr>
              <w:spacing w:after="0"/>
            </w:pPr>
            <w:r/>
            <w:r>
              <w:rPr>
                <w:b w:val="0"/>
                <w:sz w:val="17"/>
              </w:rPr>
              <w:t>GraphSAGE-style message passing with separate transformation per edge type</w:t>
            </w:r>
          </w:p>
        </w:tc>
        <w:tc>
          <w:tcPr>
            <w:tcW w:type="dxa" w:w="3408"/>
            <w:vAlign w:val="center"/>
          </w:tcPr>
          <w:p>
            <w:pPr>
              <w:spacing w:after="0"/>
            </w:pPr>
            <w:r/>
            <w:r>
              <w:rPr>
                <w:b w:val="0"/>
                <w:sz w:val="17"/>
              </w:rPr>
              <w:t>Same idea, edge vocabulary changed to bank-network relations</w:t>
            </w:r>
          </w:p>
        </w:tc>
      </w:tr>
      <w:tr>
        <w:tc>
          <w:tcPr>
            <w:tcW w:type="dxa" w:w="3408"/>
            <w:vAlign w:val="center"/>
          </w:tcPr>
          <w:p>
            <w:pPr>
              <w:spacing w:after="0"/>
            </w:pPr>
            <w:r/>
            <w:r>
              <w:rPr>
                <w:b w:val="0"/>
                <w:sz w:val="17"/>
              </w:rPr>
              <w:t>Path head</w:t>
            </w:r>
          </w:p>
        </w:tc>
        <w:tc>
          <w:tcPr>
            <w:tcW w:type="dxa" w:w="3408"/>
            <w:vAlign w:val="center"/>
          </w:tcPr>
          <w:p>
            <w:pPr>
              <w:spacing w:after="0"/>
            </w:pPr>
            <w:r/>
            <w:r>
              <w:rPr>
                <w:b w:val="0"/>
                <w:sz w:val="17"/>
              </w:rPr>
              <w:t>DNN/MLP with four hidden layers in the paper description; repo implements fc1..fc5 where fc5 is the output layer</w:t>
            </w:r>
          </w:p>
        </w:tc>
        <w:tc>
          <w:tcPr>
            <w:tcW w:type="dxa" w:w="3408"/>
            <w:vAlign w:val="center"/>
          </w:tcPr>
          <w:p>
            <w:pPr>
              <w:spacing w:after="0"/>
            </w:pPr>
            <w:r/>
            <w:r>
              <w:rPr>
                <w:b w:val="0"/>
                <w:sz w:val="17"/>
              </w:rPr>
              <w:t>Reuse architecture pattern; output size becomes CyberSentinel graph size after padding/masking design</w:t>
            </w:r>
          </w:p>
        </w:tc>
      </w:tr>
      <w:tr>
        <w:tc>
          <w:tcPr>
            <w:tcW w:type="dxa" w:w="3408"/>
            <w:vAlign w:val="center"/>
          </w:tcPr>
          <w:p>
            <w:pPr>
              <w:spacing w:after="0"/>
            </w:pPr>
            <w:r/>
            <w:r>
              <w:rPr>
                <w:b w:val="0"/>
                <w:sz w:val="17"/>
              </w:rPr>
              <w:t>Normalization</w:t>
            </w:r>
          </w:p>
        </w:tc>
        <w:tc>
          <w:tcPr>
            <w:tcW w:type="dxa" w:w="3408"/>
            <w:vAlign w:val="center"/>
          </w:tcPr>
          <w:p>
            <w:pPr>
              <w:spacing w:after="0"/>
            </w:pPr>
            <w:r/>
            <w:r>
              <w:rPr>
                <w:b w:val="0"/>
                <w:sz w:val="17"/>
              </w:rPr>
              <w:t>Sigmoid output probabilities</w:t>
            </w:r>
          </w:p>
        </w:tc>
        <w:tc>
          <w:tcPr>
            <w:tcW w:type="dxa" w:w="3408"/>
            <w:vAlign w:val="center"/>
          </w:tcPr>
          <w:p>
            <w:pPr>
              <w:spacing w:after="0"/>
            </w:pPr>
            <w:r/>
            <w:r>
              <w:rPr>
                <w:b w:val="0"/>
                <w:sz w:val="17"/>
              </w:rPr>
              <w:t>Keep probability semantics for decoder/calibration</w:t>
            </w:r>
          </w:p>
        </w:tc>
      </w:tr>
      <w:tr>
        <w:tc>
          <w:tcPr>
            <w:tcW w:type="dxa" w:w="3408"/>
            <w:vAlign w:val="center"/>
          </w:tcPr>
          <w:p>
            <w:pPr>
              <w:spacing w:after="0"/>
            </w:pPr>
            <w:r/>
            <w:r>
              <w:rPr>
                <w:b w:val="0"/>
                <w:sz w:val="17"/>
              </w:rPr>
              <w:t>Physics loss</w:t>
            </w:r>
          </w:p>
        </w:tc>
        <w:tc>
          <w:tcPr>
            <w:tcW w:type="dxa" w:w="3408"/>
            <w:vAlign w:val="center"/>
          </w:tcPr>
          <w:p>
            <w:pPr>
              <w:spacing w:after="0"/>
            </w:pPr>
            <w:r/>
            <w:r>
              <w:rPr>
                <w:b w:val="0"/>
                <w:sz w:val="17"/>
              </w:rPr>
              <w:t>Degree, connectivity and cycle penalties added to data loss</w:t>
            </w:r>
          </w:p>
        </w:tc>
        <w:tc>
          <w:tcPr>
            <w:tcW w:type="dxa" w:w="3408"/>
            <w:vAlign w:val="center"/>
          </w:tcPr>
          <w:p>
            <w:pPr>
              <w:spacing w:after="0"/>
            </w:pPr>
            <w:r/>
            <w:r>
              <w:rPr>
                <w:b w:val="0"/>
                <w:sz w:val="17"/>
              </w:rPr>
              <w:t>Keep core penalties; validate their assumptions on directed banking paths</w:t>
            </w:r>
          </w:p>
        </w:tc>
      </w:tr>
      <w:tr>
        <w:tc>
          <w:tcPr>
            <w:tcW w:type="dxa" w:w="3408"/>
            <w:vAlign w:val="center"/>
          </w:tcPr>
          <w:p>
            <w:pPr>
              <w:spacing w:after="0"/>
            </w:pPr>
            <w:r/>
            <w:r>
              <w:rPr>
                <w:b w:val="0"/>
                <w:sz w:val="17"/>
              </w:rPr>
              <w:t>Evaluation</w:t>
            </w:r>
          </w:p>
        </w:tc>
        <w:tc>
          <w:tcPr>
            <w:tcW w:type="dxa" w:w="3408"/>
            <w:vAlign w:val="center"/>
          </w:tcPr>
          <w:p>
            <w:pPr>
              <w:spacing w:after="0"/>
            </w:pPr>
            <w:r/>
            <w:r>
              <w:rPr>
                <w:b w:val="0"/>
                <w:sz w:val="17"/>
              </w:rPr>
              <w:t>ROC-AUC/F1, K-fold validation, SHAP sensitivity</w:t>
            </w:r>
          </w:p>
        </w:tc>
        <w:tc>
          <w:tcPr>
            <w:tcW w:type="dxa" w:w="3408"/>
            <w:vAlign w:val="center"/>
          </w:tcPr>
          <w:p>
            <w:pPr>
              <w:spacing w:after="0"/>
            </w:pPr>
            <w:r/>
            <w:r>
              <w:rPr>
                <w:b w:val="0"/>
                <w:sz w:val="17"/>
              </w:rPr>
              <w:t>Keep these plus path-validity and topology-holdout metrics</w:t>
            </w:r>
          </w:p>
        </w:tc>
      </w:tr>
      <w:tr>
        <w:tc>
          <w:tcPr>
            <w:tcW w:type="dxa" w:w="3408"/>
            <w:vAlign w:val="center"/>
          </w:tcPr>
          <w:p>
            <w:pPr>
              <w:spacing w:after="0"/>
            </w:pPr>
            <w:r/>
            <w:r>
              <w:rPr>
                <w:b w:val="0"/>
                <w:sz w:val="17"/>
              </w:rPr>
              <w:t>Self-supervised AE/classifier</w:t>
            </w:r>
          </w:p>
        </w:tc>
        <w:tc>
          <w:tcPr>
            <w:tcW w:type="dxa" w:w="3408"/>
            <w:vAlign w:val="center"/>
          </w:tcPr>
          <w:p>
            <w:pPr>
              <w:spacing w:after="0"/>
            </w:pPr>
            <w:r/>
            <w:r>
              <w:rPr>
                <w:b w:val="0"/>
                <w:sz w:val="17"/>
              </w:rPr>
              <w:t>Start/end-node prediction</w:t>
            </w:r>
          </w:p>
        </w:tc>
        <w:tc>
          <w:tcPr>
            <w:tcW w:type="dxa" w:w="3408"/>
            <w:vAlign w:val="center"/>
          </w:tcPr>
          <w:p>
            <w:pPr>
              <w:spacing w:after="0"/>
            </w:pPr>
            <w:r/>
            <w:r>
              <w:rPr>
                <w:b w:val="0"/>
                <w:sz w:val="17"/>
              </w:rPr>
              <w:t>Useful future extension, not required for first integration</w:t>
            </w:r>
          </w:p>
        </w:tc>
      </w:tr>
    </w:tbl>
    <w:p>
      <w:pPr>
        <w:spacing w:after="0"/>
      </w:pPr>
    </w:p>
    <w:p>
      <w:pPr>
        <w:pStyle w:val="Heading2"/>
        <w:keepNext/>
      </w:pPr>
      <w:r>
        <w:t>Paper dataset characteristics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b/>
                <w:sz w:val="18"/>
              </w:rPr>
              <w:t>Characteristic</w:t>
            </w:r>
          </w:p>
        </w:tc>
        <w:tc>
          <w:tcPr>
            <w:tcW w:type="dxa" w:w="5112"/>
            <w:vAlign w:val="center"/>
            <w:shd w:fill="D9EAF7"/>
          </w:tcPr>
          <w:p>
            <w:pPr>
              <w:spacing w:after="0"/>
            </w:pPr>
            <w:r/>
            <w:r>
              <w:rPr>
                <w:b/>
                <w:sz w:val="18"/>
              </w:rPr>
              <w:t>Reference value</w:t>
            </w:r>
          </w:p>
        </w:tc>
      </w:tr>
      <w:tr>
        <w:tc>
          <w:tcPr>
            <w:tcW w:type="dxa" w:w="5112"/>
            <w:vAlign w:val="center"/>
          </w:tcPr>
          <w:p>
            <w:pPr>
              <w:spacing w:after="0"/>
            </w:pPr>
            <w:r/>
            <w:r>
              <w:rPr>
                <w:b w:val="0"/>
                <w:sz w:val="17"/>
              </w:rPr>
              <w:t>Samples</w:t>
            </w:r>
          </w:p>
        </w:tc>
        <w:tc>
          <w:tcPr>
            <w:tcW w:type="dxa" w:w="5112"/>
            <w:vAlign w:val="center"/>
          </w:tcPr>
          <w:p>
            <w:pPr>
              <w:spacing w:after="0"/>
            </w:pPr>
            <w:r/>
            <w:r>
              <w:rPr>
                <w:b w:val="0"/>
                <w:sz w:val="17"/>
              </w:rPr>
              <w:t>1,033</w:t>
            </w:r>
          </w:p>
        </w:tc>
      </w:tr>
      <w:tr>
        <w:tc>
          <w:tcPr>
            <w:tcW w:type="dxa" w:w="5112"/>
            <w:vAlign w:val="center"/>
          </w:tcPr>
          <w:p>
            <w:pPr>
              <w:spacing w:after="0"/>
            </w:pPr>
            <w:r/>
            <w:r>
              <w:rPr>
                <w:b w:val="0"/>
                <w:sz w:val="17"/>
              </w:rPr>
              <w:t>Nodes per graph</w:t>
            </w:r>
          </w:p>
        </w:tc>
        <w:tc>
          <w:tcPr>
            <w:tcW w:type="dxa" w:w="5112"/>
            <w:vAlign w:val="center"/>
          </w:tcPr>
          <w:p>
            <w:pPr>
              <w:spacing w:after="0"/>
            </w:pPr>
            <w:r/>
            <w:r>
              <w:rPr>
                <w:b w:val="0"/>
                <w:sz w:val="17"/>
              </w:rPr>
              <w:t>361</w:t>
            </w:r>
          </w:p>
        </w:tc>
      </w:tr>
      <w:tr>
        <w:tc>
          <w:tcPr>
            <w:tcW w:type="dxa" w:w="5112"/>
            <w:vAlign w:val="center"/>
          </w:tcPr>
          <w:p>
            <w:pPr>
              <w:spacing w:after="0"/>
            </w:pPr>
            <w:r/>
            <w:r>
              <w:rPr>
                <w:b w:val="0"/>
                <w:sz w:val="17"/>
              </w:rPr>
              <w:t>Node features</w:t>
            </w:r>
          </w:p>
        </w:tc>
        <w:tc>
          <w:tcPr>
            <w:tcW w:type="dxa" w:w="5112"/>
            <w:vAlign w:val="center"/>
          </w:tcPr>
          <w:p>
            <w:pPr>
              <w:spacing w:after="0"/>
            </w:pPr>
            <w:r/>
            <w:r>
              <w:rPr>
                <w:b w:val="0"/>
                <w:sz w:val="17"/>
              </w:rPr>
              <w:t>20</w:t>
            </w:r>
          </w:p>
        </w:tc>
      </w:tr>
      <w:tr>
        <w:tc>
          <w:tcPr>
            <w:tcW w:type="dxa" w:w="5112"/>
            <w:vAlign w:val="center"/>
          </w:tcPr>
          <w:p>
            <w:pPr>
              <w:spacing w:after="0"/>
            </w:pPr>
            <w:r/>
            <w:r>
              <w:rPr>
                <w:b w:val="0"/>
                <w:sz w:val="17"/>
              </w:rPr>
              <w:t>Edge types</w:t>
            </w:r>
          </w:p>
        </w:tc>
        <w:tc>
          <w:tcPr>
            <w:tcW w:type="dxa" w:w="5112"/>
            <w:vAlign w:val="center"/>
          </w:tcPr>
          <w:p>
            <w:pPr>
              <w:spacing w:after="0"/>
            </w:pPr>
            <w:r/>
            <w:r>
              <w:rPr>
                <w:b w:val="0"/>
                <w:sz w:val="17"/>
              </w:rPr>
              <w:t>16</w:t>
            </w:r>
          </w:p>
        </w:tc>
      </w:tr>
      <w:tr>
        <w:tc>
          <w:tcPr>
            <w:tcW w:type="dxa" w:w="5112"/>
            <w:vAlign w:val="center"/>
          </w:tcPr>
          <w:p>
            <w:pPr>
              <w:spacing w:after="0"/>
            </w:pPr>
            <w:r/>
            <w:r>
              <w:rPr>
                <w:b w:val="0"/>
                <w:sz w:val="17"/>
              </w:rPr>
              <w:t>Target</w:t>
            </w:r>
          </w:p>
        </w:tc>
        <w:tc>
          <w:tcPr>
            <w:tcW w:type="dxa" w:w="5112"/>
            <w:vAlign w:val="center"/>
          </w:tcPr>
          <w:p>
            <w:pPr>
              <w:spacing w:after="0"/>
            </w:pPr>
            <w:r/>
            <w:r>
              <w:rPr>
                <w:b w:val="0"/>
                <w:sz w:val="17"/>
              </w:rPr>
              <w:t>N x N binary attack-path adjacency</w:t>
            </w:r>
          </w:p>
        </w:tc>
      </w:tr>
      <w:tr>
        <w:tc>
          <w:tcPr>
            <w:tcW w:type="dxa" w:w="5112"/>
            <w:vAlign w:val="center"/>
          </w:tcPr>
          <w:p>
            <w:pPr>
              <w:spacing w:after="0"/>
            </w:pPr>
            <w:r/>
            <w:r>
              <w:rPr>
                <w:b w:val="0"/>
                <w:sz w:val="17"/>
              </w:rPr>
              <w:t>Path type</w:t>
            </w:r>
          </w:p>
        </w:tc>
        <w:tc>
          <w:tcPr>
            <w:tcW w:type="dxa" w:w="5112"/>
            <w:vAlign w:val="center"/>
          </w:tcPr>
          <w:p>
            <w:pPr>
              <w:spacing w:after="0"/>
            </w:pPr>
            <w:r/>
            <w:r>
              <w:rPr>
                <w:b w:val="0"/>
                <w:sz w:val="17"/>
              </w:rPr>
              <w:t>Identity-snowball AD attack scenario</w:t>
            </w:r>
          </w:p>
        </w:tc>
      </w:tr>
      <w:tr>
        <w:tc>
          <w:tcPr>
            <w:tcW w:type="dxa" w:w="5112"/>
            <w:vAlign w:val="center"/>
          </w:tcPr>
          <w:p>
            <w:pPr>
              <w:spacing w:after="0"/>
            </w:pPr>
            <w:r/>
            <w:r>
              <w:rPr>
                <w:b w:val="0"/>
                <w:sz w:val="17"/>
              </w:rPr>
              <w:t>Environment generation</w:t>
            </w:r>
          </w:p>
        </w:tc>
        <w:tc>
          <w:tcPr>
            <w:tcW w:type="dxa" w:w="5112"/>
            <w:vAlign w:val="center"/>
          </w:tcPr>
          <w:p>
            <w:pPr>
              <w:spacing w:after="0"/>
            </w:pPr>
            <w:r/>
            <w:r>
              <w:rPr>
                <w:b w:val="0"/>
                <w:sz w:val="17"/>
              </w:rPr>
              <w:t>BloodHound simulation + Caldera path retrieval + manual inspection</w:t>
            </w:r>
          </w:p>
        </w:tc>
      </w:tr>
    </w:tbl>
    <w:p>
      <w:pPr>
        <w:spacing w:after="0"/>
      </w:pPr>
    </w:p>
    <w:p>
      <w:r>
        <w:t>The paper itself warns that the dataset is a prototype: it is synthetic and specialized to Active Directory identity-snowball scenarios. That is why CyberSentinel should reuse the model method but build a banking-specific dataset rather than claim that the supplied AD weights are a banking model. (See the PIGNN paper, Section 2.1 and discussion of dataset limits.)</w:t>
      </w:r>
    </w:p>
    <w:p>
      <w:pPr>
        <w:pStyle w:val="Heading1"/>
        <w:keepNext/>
      </w:pPr>
      <w:r>
        <w:t>4. What the reference repository provides</w:t>
      </w:r>
    </w:p>
    <w:p>
      <w:r>
        <w:t>The official replication package is unusually useful because it contains the implementation artifacts rather than only a paper diagram.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8"/>
              </w:rPr>
              <w:t>Repository item</w:t>
            </w:r>
          </w:p>
        </w:tc>
        <w:tc>
          <w:tcPr>
            <w:tcW w:type="dxa" w:w="3408"/>
            <w:vAlign w:val="center"/>
            <w:shd w:fill="D9EAF7"/>
          </w:tcPr>
          <w:p>
            <w:pPr>
              <w:spacing w:after="0"/>
            </w:pPr>
            <w:r/>
            <w:r>
              <w:rPr>
                <w:b/>
                <w:sz w:val="18"/>
              </w:rPr>
              <w:t>What it provides</w:t>
            </w:r>
          </w:p>
        </w:tc>
        <w:tc>
          <w:tcPr>
            <w:tcW w:type="dxa" w:w="3408"/>
            <w:vAlign w:val="center"/>
            <w:shd w:fill="D9EAF7"/>
          </w:tcPr>
          <w:p>
            <w:pPr>
              <w:spacing w:after="0"/>
            </w:pPr>
            <w:r/>
            <w:r>
              <w:rPr>
                <w:b/>
                <w:sz w:val="18"/>
              </w:rPr>
              <w:t>Use in CyberSentinel</w:t>
            </w:r>
          </w:p>
        </w:tc>
      </w:tr>
      <w:tr>
        <w:tc>
          <w:tcPr>
            <w:tcW w:type="dxa" w:w="3408"/>
            <w:vAlign w:val="center"/>
          </w:tcPr>
          <w:p>
            <w:pPr>
              <w:spacing w:after="0"/>
            </w:pPr>
            <w:r/>
            <w:r>
              <w:rPr>
                <w:b w:val="0"/>
                <w:sz w:val="17"/>
              </w:rPr>
              <w:t>README.md</w:t>
            </w:r>
          </w:p>
        </w:tc>
        <w:tc>
          <w:tcPr>
            <w:tcW w:type="dxa" w:w="3408"/>
            <w:vAlign w:val="center"/>
          </w:tcPr>
          <w:p>
            <w:pPr>
              <w:spacing w:after="0"/>
            </w:pPr>
            <w:r/>
            <w:r>
              <w:rPr>
                <w:b w:val="0"/>
                <w:sz w:val="17"/>
              </w:rPr>
              <w:t>Repository structure, dataset/weights usage and citation guidance</w:t>
            </w:r>
          </w:p>
        </w:tc>
        <w:tc>
          <w:tcPr>
            <w:tcW w:type="dxa" w:w="3408"/>
            <w:vAlign w:val="center"/>
          </w:tcPr>
          <w:p>
            <w:pPr>
              <w:spacing w:after="0"/>
            </w:pPr>
            <w:r/>
            <w:r>
              <w:rPr>
                <w:b w:val="0"/>
                <w:sz w:val="17"/>
              </w:rPr>
              <w:t>Keep as reference and cite the work.</w:t>
            </w:r>
          </w:p>
        </w:tc>
      </w:tr>
      <w:tr>
        <w:tc>
          <w:tcPr>
            <w:tcW w:type="dxa" w:w="3408"/>
            <w:vAlign w:val="center"/>
          </w:tcPr>
          <w:p>
            <w:pPr>
              <w:spacing w:after="0"/>
            </w:pPr>
            <w:r/>
            <w:r>
              <w:rPr>
                <w:b w:val="0"/>
                <w:sz w:val="17"/>
              </w:rPr>
              <w:t>_PIGNN_Replication_Code_vJCP_.ipynb</w:t>
            </w:r>
          </w:p>
        </w:tc>
        <w:tc>
          <w:tcPr>
            <w:tcW w:type="dxa" w:w="3408"/>
            <w:vAlign w:val="center"/>
          </w:tcPr>
          <w:p>
            <w:pPr>
              <w:spacing w:after="0"/>
            </w:pPr>
            <w:r/>
            <w:r>
              <w:rPr>
                <w:b w:val="0"/>
                <w:sz w:val="17"/>
              </w:rPr>
              <w:t>Model, dataset loader, losses, training, K-fold validation, thresholding and SHAP code</w:t>
            </w:r>
          </w:p>
        </w:tc>
        <w:tc>
          <w:tcPr>
            <w:tcW w:type="dxa" w:w="3408"/>
            <w:vAlign w:val="center"/>
          </w:tcPr>
          <w:p>
            <w:pPr>
              <w:spacing w:after="0"/>
            </w:pPr>
            <w:r/>
            <w:r>
              <w:rPr>
                <w:b w:val="0"/>
                <w:sz w:val="17"/>
              </w:rPr>
              <w:t>Primary source for extracting the PIGNN implementation into Python modules.</w:t>
            </w:r>
          </w:p>
        </w:tc>
      </w:tr>
      <w:tr>
        <w:tc>
          <w:tcPr>
            <w:tcW w:type="dxa" w:w="3408"/>
            <w:vAlign w:val="center"/>
          </w:tcPr>
          <w:p>
            <w:pPr>
              <w:spacing w:after="0"/>
            </w:pPr>
            <w:r/>
            <w:r>
              <w:rPr>
                <w:b w:val="0"/>
                <w:sz w:val="17"/>
              </w:rPr>
              <w:t>_PIGNN_Replication_Code_.ipynb</w:t>
            </w:r>
          </w:p>
        </w:tc>
        <w:tc>
          <w:tcPr>
            <w:tcW w:type="dxa" w:w="3408"/>
            <w:vAlign w:val="center"/>
          </w:tcPr>
          <w:p>
            <w:pPr>
              <w:spacing w:after="0"/>
            </w:pPr>
            <w:r/>
            <w:r>
              <w:rPr>
                <w:b w:val="0"/>
                <w:sz w:val="17"/>
              </w:rPr>
              <w:t>Earlier replication notebook</w:t>
            </w:r>
          </w:p>
        </w:tc>
        <w:tc>
          <w:tcPr>
            <w:tcW w:type="dxa" w:w="3408"/>
            <w:vAlign w:val="center"/>
          </w:tcPr>
          <w:p>
            <w:pPr>
              <w:spacing w:after="0"/>
            </w:pPr>
            <w:r/>
            <w:r>
              <w:rPr>
                <w:b w:val="0"/>
                <w:sz w:val="17"/>
              </w:rPr>
              <w:t>Cross-check implementation history and differences.</w:t>
            </w:r>
          </w:p>
        </w:tc>
      </w:tr>
      <w:tr>
        <w:tc>
          <w:tcPr>
            <w:tcW w:type="dxa" w:w="3408"/>
            <w:vAlign w:val="center"/>
          </w:tcPr>
          <w:p>
            <w:pPr>
              <w:spacing w:after="0"/>
            </w:pPr>
            <w:r/>
            <w:r>
              <w:rPr>
                <w:b w:val="0"/>
                <w:sz w:val="17"/>
              </w:rPr>
              <w:t>_Preprocessing_/_data_.zip</w:t>
            </w:r>
          </w:p>
        </w:tc>
        <w:tc>
          <w:tcPr>
            <w:tcW w:type="dxa" w:w="3408"/>
            <w:vAlign w:val="center"/>
          </w:tcPr>
          <w:p>
            <w:pPr>
              <w:spacing w:after="0"/>
            </w:pPr>
            <w:r/>
            <w:r>
              <w:rPr>
                <w:b w:val="0"/>
                <w:sz w:val="17"/>
              </w:rPr>
              <w:t>Preprocessed `.pt` learning samples</w:t>
            </w:r>
          </w:p>
        </w:tc>
        <w:tc>
          <w:tcPr>
            <w:tcW w:type="dxa" w:w="3408"/>
            <w:vAlign w:val="center"/>
          </w:tcPr>
          <w:p>
            <w:pPr>
              <w:spacing w:after="0"/>
            </w:pPr>
            <w:r/>
            <w:r>
              <w:rPr>
                <w:b w:val="0"/>
                <w:sz w:val="17"/>
              </w:rPr>
              <w:t>Stage-1 reproduction dataset; not the CyberSentinel training set.</w:t>
            </w:r>
          </w:p>
        </w:tc>
      </w:tr>
      <w:tr>
        <w:tc>
          <w:tcPr>
            <w:tcW w:type="dxa" w:w="3408"/>
            <w:vAlign w:val="center"/>
          </w:tcPr>
          <w:p>
            <w:pPr>
              <w:spacing w:after="0"/>
            </w:pPr>
            <w:r/>
            <w:r>
              <w:rPr>
                <w:b w:val="0"/>
                <w:sz w:val="17"/>
              </w:rPr>
              <w:t>_Preprocessing_/_graphPreprocess_.ipynb</w:t>
            </w:r>
          </w:p>
        </w:tc>
        <w:tc>
          <w:tcPr>
            <w:tcW w:type="dxa" w:w="3408"/>
            <w:vAlign w:val="center"/>
          </w:tcPr>
          <w:p>
            <w:pPr>
              <w:spacing w:after="0"/>
            </w:pPr>
            <w:r/>
            <w:r>
              <w:rPr>
                <w:b w:val="0"/>
                <w:sz w:val="17"/>
              </w:rPr>
              <w:t>Graph-to-tensor preprocessing logic</w:t>
            </w:r>
          </w:p>
        </w:tc>
        <w:tc>
          <w:tcPr>
            <w:tcW w:type="dxa" w:w="3408"/>
            <w:vAlign w:val="center"/>
          </w:tcPr>
          <w:p>
            <w:pPr>
              <w:spacing w:after="0"/>
            </w:pPr>
            <w:r/>
            <w:r>
              <w:rPr>
                <w:b w:val="0"/>
                <w:sz w:val="17"/>
              </w:rPr>
              <w:t>Template for our banking preprocessing.</w:t>
            </w:r>
          </w:p>
        </w:tc>
      </w:tr>
      <w:tr>
        <w:tc>
          <w:tcPr>
            <w:tcW w:type="dxa" w:w="3408"/>
            <w:vAlign w:val="center"/>
          </w:tcPr>
          <w:p>
            <w:pPr>
              <w:spacing w:after="0"/>
            </w:pPr>
            <w:r/>
            <w:r>
              <w:rPr>
                <w:b w:val="0"/>
                <w:sz w:val="17"/>
              </w:rPr>
              <w:t>_Preprocessing_/_computeRisk_.ipynb</w:t>
            </w:r>
          </w:p>
        </w:tc>
        <w:tc>
          <w:tcPr>
            <w:tcW w:type="dxa" w:w="3408"/>
            <w:vAlign w:val="center"/>
          </w:tcPr>
          <w:p>
            <w:pPr>
              <w:spacing w:after="0"/>
            </w:pPr>
            <w:r/>
            <w:r>
              <w:rPr>
                <w:b w:val="0"/>
                <w:sz w:val="17"/>
              </w:rPr>
              <w:t>Risk computation notebook</w:t>
            </w:r>
          </w:p>
        </w:tc>
        <w:tc>
          <w:tcPr>
            <w:tcW w:type="dxa" w:w="3408"/>
            <w:vAlign w:val="center"/>
          </w:tcPr>
          <w:p>
            <w:pPr>
              <w:spacing w:after="0"/>
            </w:pPr>
            <w:r/>
            <w:r>
              <w:rPr>
                <w:b w:val="0"/>
                <w:sz w:val="17"/>
              </w:rPr>
              <w:t>Background/reference; not a replacement for DWM.</w:t>
            </w:r>
          </w:p>
        </w:tc>
      </w:tr>
      <w:tr>
        <w:tc>
          <w:tcPr>
            <w:tcW w:type="dxa" w:w="3408"/>
            <w:vAlign w:val="center"/>
          </w:tcPr>
          <w:p>
            <w:pPr>
              <w:spacing w:after="0"/>
            </w:pPr>
            <w:r/>
            <w:r>
              <w:rPr>
                <w:b w:val="0"/>
                <w:sz w:val="17"/>
              </w:rPr>
              <w:t>_Preprocessing_/_pickleGraphs_.zip</w:t>
            </w:r>
          </w:p>
        </w:tc>
        <w:tc>
          <w:tcPr>
            <w:tcW w:type="dxa" w:w="3408"/>
            <w:vAlign w:val="center"/>
          </w:tcPr>
          <w:p>
            <w:pPr>
              <w:spacing w:after="0"/>
            </w:pPr>
            <w:r/>
            <w:r>
              <w:rPr>
                <w:b w:val="0"/>
                <w:sz w:val="17"/>
              </w:rPr>
              <w:t>Preprocessed graph pickle assets</w:t>
            </w:r>
          </w:p>
        </w:tc>
        <w:tc>
          <w:tcPr>
            <w:tcW w:type="dxa" w:w="3408"/>
            <w:vAlign w:val="center"/>
          </w:tcPr>
          <w:p>
            <w:pPr>
              <w:spacing w:after="0"/>
            </w:pPr>
            <w:r/>
            <w:r>
              <w:rPr>
                <w:b w:val="0"/>
                <w:sz w:val="17"/>
              </w:rPr>
              <w:t>Reference data pipeline; optional for reproduction.</w:t>
            </w:r>
          </w:p>
        </w:tc>
      </w:tr>
      <w:tr>
        <w:tc>
          <w:tcPr>
            <w:tcW w:type="dxa" w:w="3408"/>
            <w:vAlign w:val="center"/>
          </w:tcPr>
          <w:p>
            <w:pPr>
              <w:spacing w:after="0"/>
            </w:pPr>
            <w:r/>
            <w:r>
              <w:rPr>
                <w:b w:val="0"/>
                <w:sz w:val="17"/>
              </w:rPr>
              <w:t>_Preprocessing_/DemoRisk.zip</w:t>
            </w:r>
          </w:p>
        </w:tc>
        <w:tc>
          <w:tcPr>
            <w:tcW w:type="dxa" w:w="3408"/>
            <w:vAlign w:val="center"/>
          </w:tcPr>
          <w:p>
            <w:pPr>
              <w:spacing w:after="0"/>
            </w:pPr>
            <w:r/>
            <w:r>
              <w:rPr>
                <w:b w:val="0"/>
                <w:sz w:val="17"/>
              </w:rPr>
              <w:t>Demo risk assets</w:t>
            </w:r>
          </w:p>
        </w:tc>
        <w:tc>
          <w:tcPr>
            <w:tcW w:type="dxa" w:w="3408"/>
            <w:vAlign w:val="center"/>
          </w:tcPr>
          <w:p>
            <w:pPr>
              <w:spacing w:after="0"/>
            </w:pPr>
            <w:r/>
            <w:r>
              <w:rPr>
                <w:b w:val="0"/>
                <w:sz w:val="17"/>
              </w:rPr>
              <w:t>Optional reference only.</w:t>
            </w:r>
          </w:p>
        </w:tc>
      </w:tr>
      <w:tr>
        <w:tc>
          <w:tcPr>
            <w:tcW w:type="dxa" w:w="3408"/>
            <w:vAlign w:val="center"/>
          </w:tcPr>
          <w:p>
            <w:pPr>
              <w:spacing w:after="0"/>
            </w:pPr>
            <w:r/>
            <w:r>
              <w:rPr>
                <w:b w:val="0"/>
                <w:sz w:val="17"/>
              </w:rPr>
              <w:t>Weights/086-pinn_graphsage_weights.pth</w:t>
            </w:r>
          </w:p>
        </w:tc>
        <w:tc>
          <w:tcPr>
            <w:tcW w:type="dxa" w:w="3408"/>
            <w:vAlign w:val="center"/>
          </w:tcPr>
          <w:p>
            <w:pPr>
              <w:spacing w:after="0"/>
            </w:pPr>
            <w:r/>
            <w:r>
              <w:rPr>
                <w:b w:val="0"/>
                <w:sz w:val="17"/>
              </w:rPr>
              <w:t>Pretrained PIGNN GraphSAGE weights</w:t>
            </w:r>
          </w:p>
        </w:tc>
        <w:tc>
          <w:tcPr>
            <w:tcW w:type="dxa" w:w="3408"/>
            <w:vAlign w:val="center"/>
          </w:tcPr>
          <w:p>
            <w:pPr>
              <w:spacing w:after="0"/>
            </w:pPr>
            <w:r/>
            <w:r>
              <w:rPr>
                <w:b w:val="0"/>
                <w:sz w:val="17"/>
              </w:rPr>
              <w:t>Paper reproduction only; do not use as CyberSentinel production weights.</w:t>
            </w:r>
          </w:p>
        </w:tc>
      </w:tr>
      <w:tr>
        <w:tc>
          <w:tcPr>
            <w:tcW w:type="dxa" w:w="3408"/>
            <w:vAlign w:val="center"/>
          </w:tcPr>
          <w:p>
            <w:pPr>
              <w:spacing w:after="0"/>
            </w:pPr>
            <w:r/>
            <w:r>
              <w:rPr>
                <w:b w:val="0"/>
                <w:sz w:val="17"/>
              </w:rPr>
              <w:t>Weights/086-pinn_dnn_weights.pth</w:t>
            </w:r>
          </w:p>
        </w:tc>
        <w:tc>
          <w:tcPr>
            <w:tcW w:type="dxa" w:w="3408"/>
            <w:vAlign w:val="center"/>
          </w:tcPr>
          <w:p>
            <w:pPr>
              <w:spacing w:after="0"/>
            </w:pPr>
            <w:r/>
            <w:r>
              <w:rPr>
                <w:b w:val="0"/>
                <w:sz w:val="17"/>
              </w:rPr>
              <w:t>Pretrained PIGNN path-head weights</w:t>
            </w:r>
          </w:p>
        </w:tc>
        <w:tc>
          <w:tcPr>
            <w:tcW w:type="dxa" w:w="3408"/>
            <w:vAlign w:val="center"/>
          </w:tcPr>
          <w:p>
            <w:pPr>
              <w:spacing w:after="0"/>
            </w:pPr>
            <w:r/>
            <w:r>
              <w:rPr>
                <w:b w:val="0"/>
                <w:sz w:val="17"/>
              </w:rPr>
              <w:t>Paper reproduction only.</w:t>
            </w:r>
          </w:p>
        </w:tc>
      </w:tr>
      <w:tr>
        <w:tc>
          <w:tcPr>
            <w:tcW w:type="dxa" w:w="3408"/>
            <w:vAlign w:val="center"/>
          </w:tcPr>
          <w:p>
            <w:pPr>
              <w:spacing w:after="0"/>
            </w:pPr>
            <w:r/>
            <w:r>
              <w:rPr>
                <w:b w:val="0"/>
                <w:sz w:val="17"/>
              </w:rPr>
              <w:t>Weights/graphsage_weights.pth + autoencoder_weights.pth</w:t>
            </w:r>
          </w:p>
        </w:tc>
        <w:tc>
          <w:tcPr>
            <w:tcW w:type="dxa" w:w="3408"/>
            <w:vAlign w:val="center"/>
          </w:tcPr>
          <w:p>
            <w:pPr>
              <w:spacing w:after="0"/>
            </w:pPr>
            <w:r/>
            <w:r>
              <w:rPr>
                <w:b w:val="0"/>
                <w:sz w:val="17"/>
              </w:rPr>
              <w:t>Pretrained self-supervised representation weights</w:t>
            </w:r>
          </w:p>
        </w:tc>
        <w:tc>
          <w:tcPr>
            <w:tcW w:type="dxa" w:w="3408"/>
            <w:vAlign w:val="center"/>
          </w:tcPr>
          <w:p>
            <w:pPr>
              <w:spacing w:after="0"/>
            </w:pPr>
            <w:r/>
            <w:r>
              <w:rPr>
                <w:b w:val="0"/>
                <w:sz w:val="17"/>
              </w:rPr>
              <w:t>Optional future start/end classifier work.</w:t>
            </w:r>
          </w:p>
        </w:tc>
      </w:tr>
      <w:tr>
        <w:tc>
          <w:tcPr>
            <w:tcW w:type="dxa" w:w="3408"/>
            <w:vAlign w:val="center"/>
          </w:tcPr>
          <w:p>
            <w:pPr>
              <w:spacing w:after="0"/>
            </w:pPr>
            <w:r/>
            <w:r>
              <w:rPr>
                <w:b w:val="0"/>
                <w:sz w:val="17"/>
              </w:rPr>
              <w:t>Weights/sn_* and en_*</w:t>
            </w:r>
          </w:p>
        </w:tc>
        <w:tc>
          <w:tcPr>
            <w:tcW w:type="dxa" w:w="3408"/>
            <w:vAlign w:val="center"/>
          </w:tcPr>
          <w:p>
            <w:pPr>
              <w:spacing w:after="0"/>
            </w:pPr>
            <w:r/>
            <w:r>
              <w:rPr>
                <w:b w:val="0"/>
                <w:sz w:val="17"/>
              </w:rPr>
              <w:t>Start-node/end-node classifier weights</w:t>
            </w:r>
          </w:p>
        </w:tc>
        <w:tc>
          <w:tcPr>
            <w:tcW w:type="dxa" w:w="3408"/>
            <w:vAlign w:val="center"/>
          </w:tcPr>
          <w:p>
            <w:pPr>
              <w:spacing w:after="0"/>
            </w:pPr>
            <w:r/>
            <w:r>
              <w:rPr>
                <w:b w:val="0"/>
                <w:sz w:val="17"/>
              </w:rPr>
              <w:t>Future extension; not needed for selected entry/goal simulation.</w:t>
            </w:r>
          </w:p>
        </w:tc>
      </w:tr>
      <w:tr>
        <w:tc>
          <w:tcPr>
            <w:tcW w:type="dxa" w:w="3408"/>
            <w:vAlign w:val="center"/>
          </w:tcPr>
          <w:p>
            <w:pPr>
              <w:spacing w:after="0"/>
            </w:pPr>
            <w:r/>
            <w:r>
              <w:rPr>
                <w:b w:val="0"/>
                <w:sz w:val="17"/>
              </w:rPr>
              <w:t>EDA/*</w:t>
            </w:r>
          </w:p>
        </w:tc>
        <w:tc>
          <w:tcPr>
            <w:tcW w:type="dxa" w:w="3408"/>
            <w:vAlign w:val="center"/>
          </w:tcPr>
          <w:p>
            <w:pPr>
              <w:spacing w:after="0"/>
            </w:pPr>
            <w:r/>
            <w:r>
              <w:rPr>
                <w:b w:val="0"/>
                <w:sz w:val="17"/>
              </w:rPr>
              <w:t>Dataset distribution figures</w:t>
            </w:r>
          </w:p>
        </w:tc>
        <w:tc>
          <w:tcPr>
            <w:tcW w:type="dxa" w:w="3408"/>
            <w:vAlign w:val="center"/>
          </w:tcPr>
          <w:p>
            <w:pPr>
              <w:spacing w:after="0"/>
            </w:pPr>
            <w:r/>
            <w:r>
              <w:rPr>
                <w:b w:val="0"/>
                <w:sz w:val="17"/>
              </w:rPr>
              <w:t>Use to reproduce reference sanity checks if needed.</w:t>
            </w:r>
          </w:p>
        </w:tc>
      </w:tr>
    </w:tbl>
    <w:p>
      <w:pPr>
        <w:spacing w:after="0"/>
      </w:pPr>
    </w:p>
    <w:p>
      <w:r>
        <w:t>The notebook imports PyTorch, Torch Geometric, scikit-learn metrics, SHAP and related analysis packages. The core path model itself uses a custom GraphSAGE layer and a DNN path head; we should keep the implementation modular rather than ship one 2,000-line notebook as production code.</w:t>
      </w:r>
    </w:p>
    <w:p>
      <w:pPr>
        <w:pStyle w:val="Heading1"/>
        <w:keepNext/>
      </w:pPr>
      <w:r>
        <w:t>5. What we reuse vs what we change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8"/>
              </w:rPr>
              <w:t>Keep / reuse</w:t>
            </w:r>
          </w:p>
        </w:tc>
        <w:tc>
          <w:tcPr>
            <w:tcW w:type="dxa" w:w="3408"/>
            <w:vAlign w:val="center"/>
            <w:shd w:fill="D9EAF7"/>
          </w:tcPr>
          <w:p>
            <w:pPr>
              <w:spacing w:after="0"/>
            </w:pPr>
            <w:r/>
            <w:r>
              <w:rPr>
                <w:b/>
                <w:sz w:val="18"/>
              </w:rPr>
              <w:t>Change for CyberSentinel</w:t>
            </w:r>
          </w:p>
        </w:tc>
        <w:tc>
          <w:tcPr>
            <w:tcW w:type="dxa" w:w="3408"/>
            <w:vAlign w:val="center"/>
            <w:shd w:fill="D9EAF7"/>
          </w:tcPr>
          <w:p>
            <w:pPr>
              <w:spacing w:after="0"/>
            </w:pPr>
            <w:r/>
            <w:r>
              <w:rPr>
                <w:b/>
                <w:sz w:val="18"/>
              </w:rPr>
              <w:t>Why</w:t>
            </w:r>
          </w:p>
        </w:tc>
      </w:tr>
      <w:tr>
        <w:tc>
          <w:tcPr>
            <w:tcW w:type="dxa" w:w="3408"/>
            <w:vAlign w:val="center"/>
          </w:tcPr>
          <w:p>
            <w:pPr>
              <w:spacing w:after="0"/>
            </w:pPr>
            <w:r/>
            <w:r>
              <w:rPr>
                <w:b w:val="0"/>
                <w:sz w:val="17"/>
              </w:rPr>
              <w:t>GraphSAGE-style encoder</w:t>
            </w:r>
          </w:p>
        </w:tc>
        <w:tc>
          <w:tcPr>
            <w:tcW w:type="dxa" w:w="3408"/>
            <w:vAlign w:val="center"/>
          </w:tcPr>
          <w:p>
            <w:pPr>
              <w:spacing w:after="0"/>
            </w:pPr>
            <w:r/>
            <w:r>
              <w:rPr>
                <w:b w:val="0"/>
                <w:sz w:val="17"/>
              </w:rPr>
              <w:t>Edge types and input feature semantics</w:t>
            </w:r>
          </w:p>
        </w:tc>
        <w:tc>
          <w:tcPr>
            <w:tcW w:type="dxa" w:w="3408"/>
            <w:vAlign w:val="center"/>
          </w:tcPr>
          <w:p>
            <w:pPr>
              <w:spacing w:after="0"/>
            </w:pPr>
            <w:r/>
            <w:r>
              <w:rPr>
                <w:b w:val="0"/>
                <w:sz w:val="17"/>
              </w:rPr>
              <w:t>Banking networks are not AD graphs.</w:t>
            </w:r>
          </w:p>
        </w:tc>
      </w:tr>
      <w:tr>
        <w:tc>
          <w:tcPr>
            <w:tcW w:type="dxa" w:w="3408"/>
            <w:vAlign w:val="center"/>
          </w:tcPr>
          <w:p>
            <w:pPr>
              <w:spacing w:after="0"/>
            </w:pPr>
            <w:r/>
            <w:r>
              <w:rPr>
                <w:b w:val="0"/>
                <w:sz w:val="17"/>
              </w:rPr>
              <w:t>DNN path predictor</w:t>
            </w:r>
          </w:p>
        </w:tc>
        <w:tc>
          <w:tcPr>
            <w:tcW w:type="dxa" w:w="3408"/>
            <w:vAlign w:val="center"/>
          </w:tcPr>
          <w:p>
            <w:pPr>
              <w:spacing w:after="0"/>
            </w:pPr>
            <w:r/>
            <w:r>
              <w:rPr>
                <w:b w:val="0"/>
                <w:sz w:val="17"/>
              </w:rPr>
              <w:t>Output sizing/padding and masks for our network sizes</w:t>
            </w:r>
          </w:p>
        </w:tc>
        <w:tc>
          <w:tcPr>
            <w:tcW w:type="dxa" w:w="3408"/>
            <w:vAlign w:val="center"/>
          </w:tcPr>
          <w:p>
            <w:pPr>
              <w:spacing w:after="0"/>
            </w:pPr>
            <w:r/>
            <w:r>
              <w:rPr>
                <w:b w:val="0"/>
                <w:sz w:val="17"/>
              </w:rPr>
              <w:t>Our graphs are much smaller and can vary by scenario.</w:t>
            </w:r>
          </w:p>
        </w:tc>
      </w:tr>
      <w:tr>
        <w:tc>
          <w:tcPr>
            <w:tcW w:type="dxa" w:w="3408"/>
            <w:vAlign w:val="center"/>
          </w:tcPr>
          <w:p>
            <w:pPr>
              <w:spacing w:after="0"/>
            </w:pPr>
            <w:r/>
            <w:r>
              <w:rPr>
                <w:b w:val="0"/>
                <w:sz w:val="17"/>
              </w:rPr>
              <w:t>Masked BCE strategy</w:t>
            </w:r>
          </w:p>
        </w:tc>
        <w:tc>
          <w:tcPr>
            <w:tcW w:type="dxa" w:w="3408"/>
            <w:vAlign w:val="center"/>
          </w:tcPr>
          <w:p>
            <w:pPr>
              <w:spacing w:after="0"/>
            </w:pPr>
            <w:r/>
            <w:r>
              <w:rPr>
                <w:b w:val="0"/>
                <w:sz w:val="17"/>
              </w:rPr>
              <w:t>Recalibrate positive/negative weighting on our dataset</w:t>
            </w:r>
          </w:p>
        </w:tc>
        <w:tc>
          <w:tcPr>
            <w:tcW w:type="dxa" w:w="3408"/>
            <w:vAlign w:val="center"/>
          </w:tcPr>
          <w:p>
            <w:pPr>
              <w:spacing w:after="0"/>
            </w:pPr>
            <w:r/>
            <w:r>
              <w:rPr>
                <w:b w:val="0"/>
                <w:sz w:val="17"/>
              </w:rPr>
              <w:t>Class imbalance depends on CyberSentinel graph size/path length.</w:t>
            </w:r>
          </w:p>
        </w:tc>
      </w:tr>
      <w:tr>
        <w:tc>
          <w:tcPr>
            <w:tcW w:type="dxa" w:w="3408"/>
            <w:vAlign w:val="center"/>
          </w:tcPr>
          <w:p>
            <w:pPr>
              <w:spacing w:after="0"/>
            </w:pPr>
            <w:r/>
            <w:r>
              <w:rPr>
                <w:b w:val="0"/>
                <w:sz w:val="17"/>
              </w:rPr>
              <w:t>Degree loss</w:t>
            </w:r>
          </w:p>
        </w:tc>
        <w:tc>
          <w:tcPr>
            <w:tcW w:type="dxa" w:w="3408"/>
            <w:vAlign w:val="center"/>
          </w:tcPr>
          <w:p>
            <w:pPr>
              <w:spacing w:after="0"/>
            </w:pPr>
            <w:r/>
            <w:r>
              <w:rPr>
                <w:b w:val="0"/>
                <w:sz w:val="17"/>
              </w:rPr>
              <w:t>Validate directed-path interpretation and source/target handling</w:t>
            </w:r>
          </w:p>
        </w:tc>
        <w:tc>
          <w:tcPr>
            <w:tcW w:type="dxa" w:w="3408"/>
            <w:vAlign w:val="center"/>
          </w:tcPr>
          <w:p>
            <w:pPr>
              <w:spacing w:after="0"/>
            </w:pPr>
            <w:r/>
            <w:r>
              <w:rPr>
                <w:b w:val="0"/>
                <w:sz w:val="17"/>
              </w:rPr>
              <w:t>Bank path semantics differ from AD identity paths.</w:t>
            </w:r>
          </w:p>
        </w:tc>
      </w:tr>
      <w:tr>
        <w:tc>
          <w:tcPr>
            <w:tcW w:type="dxa" w:w="3408"/>
            <w:vAlign w:val="center"/>
          </w:tcPr>
          <w:p>
            <w:pPr>
              <w:spacing w:after="0"/>
            </w:pPr>
            <w:r/>
            <w:r>
              <w:rPr>
                <w:b w:val="0"/>
                <w:sz w:val="17"/>
              </w:rPr>
              <w:t>Cycle loss</w:t>
            </w:r>
          </w:p>
        </w:tc>
        <w:tc>
          <w:tcPr>
            <w:tcW w:type="dxa" w:w="3408"/>
            <w:vAlign w:val="center"/>
          </w:tcPr>
          <w:p>
            <w:pPr>
              <w:spacing w:after="0"/>
            </w:pPr>
            <w:r/>
            <w:r>
              <w:rPr>
                <w:b w:val="0"/>
                <w:sz w:val="17"/>
              </w:rPr>
              <w:t>Keep, but apply after edge masking/normalization</w:t>
            </w:r>
          </w:p>
        </w:tc>
        <w:tc>
          <w:tcPr>
            <w:tcW w:type="dxa" w:w="3408"/>
            <w:vAlign w:val="center"/>
          </w:tcPr>
          <w:p>
            <w:pPr>
              <w:spacing w:after="0"/>
            </w:pPr>
            <w:r/>
            <w:r>
              <w:rPr>
                <w:b w:val="0"/>
                <w:sz w:val="17"/>
              </w:rPr>
              <w:t>Attack path should be simple.</w:t>
            </w:r>
          </w:p>
        </w:tc>
      </w:tr>
      <w:tr>
        <w:tc>
          <w:tcPr>
            <w:tcW w:type="dxa" w:w="3408"/>
            <w:vAlign w:val="center"/>
          </w:tcPr>
          <w:p>
            <w:pPr>
              <w:spacing w:after="0"/>
            </w:pPr>
            <w:r/>
            <w:r>
              <w:rPr>
                <w:b w:val="0"/>
                <w:sz w:val="17"/>
              </w:rPr>
              <w:t>Connectivity loss</w:t>
            </w:r>
          </w:p>
        </w:tc>
        <w:tc>
          <w:tcPr>
            <w:tcW w:type="dxa" w:w="3408"/>
            <w:vAlign w:val="center"/>
          </w:tcPr>
          <w:p>
            <w:pPr>
              <w:spacing w:after="0"/>
            </w:pPr>
            <w:r/>
            <w:r>
              <w:rPr>
                <w:b w:val="0"/>
                <w:sz w:val="17"/>
              </w:rPr>
              <w:t>Keep/adapt to our path-length distribution</w:t>
            </w:r>
          </w:p>
        </w:tc>
        <w:tc>
          <w:tcPr>
            <w:tcW w:type="dxa" w:w="3408"/>
            <w:vAlign w:val="center"/>
          </w:tcPr>
          <w:p>
            <w:pPr>
              <w:spacing w:after="0"/>
            </w:pPr>
            <w:r/>
            <w:r>
              <w:rPr>
                <w:b w:val="0"/>
                <w:sz w:val="17"/>
              </w:rPr>
              <w:t>Predicted path must connect entry to target.</w:t>
            </w:r>
          </w:p>
        </w:tc>
      </w:tr>
      <w:tr>
        <w:tc>
          <w:tcPr>
            <w:tcW w:type="dxa" w:w="3408"/>
            <w:vAlign w:val="center"/>
          </w:tcPr>
          <w:p>
            <w:pPr>
              <w:spacing w:after="0"/>
            </w:pPr>
            <w:r/>
            <w:r>
              <w:rPr>
                <w:b w:val="0"/>
                <w:sz w:val="17"/>
              </w:rPr>
              <w:t>5-fold training/evaluation</w:t>
            </w:r>
          </w:p>
        </w:tc>
        <w:tc>
          <w:tcPr>
            <w:tcW w:type="dxa" w:w="3408"/>
            <w:vAlign w:val="center"/>
          </w:tcPr>
          <w:p>
            <w:pPr>
              <w:spacing w:after="0"/>
            </w:pPr>
            <w:r/>
            <w:r>
              <w:rPr>
                <w:b w:val="0"/>
                <w:sz w:val="17"/>
              </w:rPr>
              <w:t>Add topology-family holdout</w:t>
            </w:r>
          </w:p>
        </w:tc>
        <w:tc>
          <w:tcPr>
            <w:tcW w:type="dxa" w:w="3408"/>
            <w:vAlign w:val="center"/>
          </w:tcPr>
          <w:p>
            <w:pPr>
              <w:spacing w:after="0"/>
            </w:pPr>
            <w:r/>
            <w:r>
              <w:rPr>
                <w:b w:val="0"/>
                <w:sz w:val="17"/>
              </w:rPr>
              <w:t>Tests generalization to a new banking topology family.</w:t>
            </w:r>
          </w:p>
        </w:tc>
      </w:tr>
      <w:tr>
        <w:tc>
          <w:tcPr>
            <w:tcW w:type="dxa" w:w="3408"/>
            <w:vAlign w:val="center"/>
          </w:tcPr>
          <w:p>
            <w:pPr>
              <w:spacing w:after="0"/>
            </w:pPr>
            <w:r/>
            <w:r>
              <w:rPr>
                <w:b w:val="0"/>
                <w:sz w:val="17"/>
              </w:rPr>
              <w:t>SHAP analysis</w:t>
            </w:r>
          </w:p>
        </w:tc>
        <w:tc>
          <w:tcPr>
            <w:tcW w:type="dxa" w:w="3408"/>
            <w:vAlign w:val="center"/>
          </w:tcPr>
          <w:p>
            <w:pPr>
              <w:spacing w:after="0"/>
            </w:pPr>
            <w:r/>
            <w:r>
              <w:rPr>
                <w:b w:val="0"/>
                <w:sz w:val="17"/>
              </w:rPr>
              <w:t>Rename features/relations and use targeted samples</w:t>
            </w:r>
          </w:p>
        </w:tc>
        <w:tc>
          <w:tcPr>
            <w:tcW w:type="dxa" w:w="3408"/>
            <w:vAlign w:val="center"/>
          </w:tcPr>
          <w:p>
            <w:pPr>
              <w:spacing w:after="0"/>
            </w:pPr>
            <w:r/>
            <w:r>
              <w:rPr>
                <w:b w:val="0"/>
                <w:sz w:val="17"/>
              </w:rPr>
              <w:t>Explain banking feature importance rather than AD features.</w:t>
            </w:r>
          </w:p>
        </w:tc>
      </w:tr>
      <w:tr>
        <w:tc>
          <w:tcPr>
            <w:tcW w:type="dxa" w:w="3408"/>
            <w:vAlign w:val="center"/>
          </w:tcPr>
          <w:p>
            <w:pPr>
              <w:spacing w:after="0"/>
            </w:pPr>
            <w:r/>
            <w:r>
              <w:rPr>
                <w:b w:val="0"/>
                <w:sz w:val="17"/>
              </w:rPr>
              <w:t>Pretrained weights</w:t>
            </w:r>
          </w:p>
        </w:tc>
        <w:tc>
          <w:tcPr>
            <w:tcW w:type="dxa" w:w="3408"/>
            <w:vAlign w:val="center"/>
          </w:tcPr>
          <w:p>
            <w:pPr>
              <w:spacing w:after="0"/>
            </w:pPr>
            <w:r/>
            <w:r>
              <w:rPr>
                <w:b w:val="0"/>
                <w:sz w:val="17"/>
              </w:rPr>
              <w:t>Do not load them for final banking model</w:t>
            </w:r>
          </w:p>
        </w:tc>
        <w:tc>
          <w:tcPr>
            <w:tcW w:type="dxa" w:w="3408"/>
            <w:vAlign w:val="center"/>
          </w:tcPr>
          <w:p>
            <w:pPr>
              <w:spacing w:after="0"/>
            </w:pPr>
            <w:r/>
            <w:r>
              <w:rPr>
                <w:b w:val="0"/>
                <w:sz w:val="17"/>
              </w:rPr>
              <w:t>Tensor shapes/semantics do not match safely.</w:t>
            </w:r>
          </w:p>
        </w:tc>
      </w:tr>
      <w:tr>
        <w:tc>
          <w:tcPr>
            <w:tcW w:type="dxa" w:w="3408"/>
            <w:vAlign w:val="center"/>
          </w:tcPr>
          <w:p>
            <w:pPr>
              <w:spacing w:after="0"/>
            </w:pPr>
            <w:r/>
            <w:r>
              <w:rPr>
                <w:b w:val="0"/>
                <w:sz w:val="17"/>
              </w:rPr>
              <w:t>Reference `.pt` data</w:t>
            </w:r>
          </w:p>
        </w:tc>
        <w:tc>
          <w:tcPr>
            <w:tcW w:type="dxa" w:w="3408"/>
            <w:vAlign w:val="center"/>
          </w:tcPr>
          <w:p>
            <w:pPr>
              <w:spacing w:after="0"/>
            </w:pPr>
            <w:r/>
            <w:r>
              <w:rPr>
                <w:b w:val="0"/>
                <w:sz w:val="17"/>
              </w:rPr>
              <w:t>Use only for reproduction benchmark</w:t>
            </w:r>
          </w:p>
        </w:tc>
        <w:tc>
          <w:tcPr>
            <w:tcW w:type="dxa" w:w="3408"/>
            <w:vAlign w:val="center"/>
          </w:tcPr>
          <w:p>
            <w:pPr>
              <w:spacing w:after="0"/>
            </w:pPr>
            <w:r/>
            <w:r>
              <w:rPr>
                <w:b w:val="0"/>
                <w:sz w:val="17"/>
              </w:rPr>
              <w:t>Avoid cross-domain dataset claims.</w:t>
            </w:r>
          </w:p>
        </w:tc>
      </w:tr>
    </w:tbl>
    <w:p>
      <w:pPr>
        <w:spacing w:after="0"/>
      </w:pPr>
    </w:p>
    <w:p>
      <w:pPr>
        <w:pStyle w:val="Heading1"/>
        <w:keepNext/>
      </w:pPr>
      <w:r>
        <w:t>6. CyberSentinel PIGNN architecture</w:t>
      </w:r>
    </w:p>
    <w:p>
      <w:pPr>
        <w:pStyle w:val="CodeBlock"/>
      </w:pPr>
      <w:r>
        <w:t>INPUT GRAPH</w:t>
        <w:br/>
        <w:br/>
        <w:t>network.json + cves.json</w:t>
        <w:br/>
        <w:t xml:space="preserve">       |</w:t>
        <w:br/>
        <w:t xml:space="preserve">       +-- directed topology</w:t>
        <w:br/>
        <w:t xml:space="preserve">       +-- relation type for every edge</w:t>
        <w:br/>
        <w:t xml:space="preserve">       +-- node CVE metadata</w:t>
        <w:br/>
        <w:t xml:space="preserve">       +-- start/target markers</w:t>
        <w:br/>
        <w:t xml:space="preserve">       +-- DWM contextual features</w:t>
        <w:br/>
        <w:t xml:space="preserve">       v</w:t>
        <w:br/>
        <w:t>PREPROCESSOR</w:t>
        <w:br/>
        <w:t xml:space="preserve">  A: [N, N, R] typed adjacency tensor</w:t>
        <w:br/>
        <w:t xml:space="preserve">  F: [N, P] node feature matrix</w:t>
        <w:br/>
        <w:t xml:space="preserve">       |</w:t>
        <w:br/>
        <w:t xml:space="preserve">       v</w:t>
        <w:br/>
        <w:t>PIGNN ENCODER</w:t>
        <w:br/>
        <w:t xml:space="preserve">  input projection</w:t>
        <w:br/>
        <w:t xml:space="preserve">  -&gt; GraphSAGE layer 1</w:t>
        <w:br/>
        <w:t xml:space="preserve">  -&gt; GraphSAGE layer 2</w:t>
        <w:br/>
        <w:t xml:space="preserve">  -&gt; output projection</w:t>
        <w:br/>
        <w:t xml:space="preserve">       |</w:t>
        <w:br/>
        <w:t xml:space="preserve">       v</w:t>
        <w:br/>
        <w:t>PATH HEAD</w:t>
        <w:br/>
        <w:t xml:space="preserve">  4 hidden MLP layers</w:t>
        <w:br/>
        <w:t xml:space="preserve">  -&gt; output layer</w:t>
        <w:br/>
        <w:t xml:space="preserve">  -&gt; sigmoid</w:t>
        <w:br/>
        <w:t xml:space="preserve">       |</w:t>
        <w:br/>
        <w:t xml:space="preserve">       v</w:t>
        <w:br/>
        <w:t>Y_hat: [N, N] edge-membership probabilities</w:t>
        <w:br/>
        <w:t xml:space="preserve">       |</w:t>
        <w:br/>
        <w:t xml:space="preserve">       +-- data loss during training</w:t>
        <w:br/>
        <w:t xml:space="preserve">       +-- degree loss</w:t>
        <w:br/>
        <w:t xml:space="preserve">       +-- connectivity loss</w:t>
        <w:br/>
        <w:t xml:space="preserve">       +-- cycle loss</w:t>
        <w:br/>
        <w:t xml:space="preserve">       |</w:t>
        <w:br/>
        <w:t xml:space="preserve">       v</w:t>
        <w:br/>
        <w:t>CYBERSENTINEL PATH DECODER</w:t>
        <w:br/>
        <w:t xml:space="preserve">  mask non-existent edges</w:t>
        <w:br/>
        <w:t xml:space="preserve">  remove self-loops</w:t>
        <w:br/>
        <w:t xml:space="preserve">  enforce start/target</w:t>
        <w:br/>
        <w:t xml:space="preserve">  select valid simple path</w:t>
        <w:br/>
        <w:t xml:space="preserve">       |</w:t>
        <w:br/>
        <w:t xml:space="preserve">       v</w:t>
        <w:br/>
        <w:t>SELECTED ATTACK PATH</w:t>
        <w:br/>
        <w:t xml:space="preserve">       |</w:t>
        <w:br/>
        <w:t xml:space="preserve">       +--&gt; DWM contextual risk</w:t>
        <w:br/>
        <w:t xml:space="preserve">       +--&gt; MITRE ATT&amp;CK mapping</w:t>
        <w:br/>
        <w:t xml:space="preserve">       +--&gt; LLM kill-chain narrative</w:t>
        <w:br/>
        <w:t xml:space="preserve">       +--&gt; SafetyCard / FixPanel</w:t>
        <w:br/>
        <w:t xml:space="preserve">       +--&gt; NetworkGraph / PathList</w:t>
      </w:r>
    </w:p>
    <w:p>
      <w:pPr>
        <w:pStyle w:val="Heading2"/>
        <w:keepNext/>
      </w:pPr>
      <w:r>
        <w:t>Why the graph must be typed</w:t>
      </w:r>
    </w:p>
    <w:p>
      <w:r>
        <w:t>The reference GraphSAGE layer creates a separate linear transformation for each adjacency channel. In other words, an `AdminTo` relationship is not treated the same way as `MemberOf`. CyberSentinel therefore needs an explicit edge relation field or a deterministic relation-mapping layer. A raw `protocol` string alone is not sufficient unless it is normalized into a stable relation vocabulary.</w:t>
      </w:r>
    </w:p>
    <w:p>
      <w:pPr>
        <w:pStyle w:val="Heading1"/>
        <w:keepNext/>
      </w:pPr>
      <w:r>
        <w:t>7. Data model and feature schema</w:t>
      </w:r>
    </w:p>
    <w:p>
      <w:pPr>
        <w:pStyle w:val="Heading2"/>
        <w:keepNext/>
      </w:pPr>
      <w:r>
        <w:t>7.1 Edge schema change</w:t>
      </w:r>
    </w:p>
    <w:p>
      <w:pPr>
        <w:pStyle w:val="CodeBlock"/>
      </w:pPr>
      <w:r>
        <w:t>{</w:t>
        <w:br/>
        <w:t xml:space="preserve">  "from": "api_gw_1",</w:t>
        <w:br/>
        <w:t xml:space="preserve">  "to": "web_app_1",</w:t>
        <w:br/>
        <w:t xml:space="preserve">  "protocol": "HTTPS",</w:t>
        <w:br/>
        <w:t xml:space="preserve">  "relation": "api_call"</w:t>
        <w:br/>
        <w:t>}</w:t>
      </w:r>
    </w:p>
    <w:p>
      <w:r>
        <w:t>Add `relation` to every training/inference edge. If legacy `network.json` files do not have it, derive it deterministically from protocol/node types during preprocessing and optionally materialize the derived field later.</w:t>
      </w:r>
    </w:p>
    <w:p>
      <w:pPr>
        <w:pStyle w:val="Heading2"/>
        <w:keepNext/>
      </w:pPr>
      <w:r>
        <w:t>7.2 Proposed 20-dimensional banking feature vector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8"/>
              </w:rPr>
              <w:t>#</w:t>
            </w:r>
          </w:p>
        </w:tc>
        <w:tc>
          <w:tcPr>
            <w:tcW w:type="dxa" w:w="3408"/>
            <w:vAlign w:val="center"/>
            <w:shd w:fill="D9EAF7"/>
          </w:tcPr>
          <w:p>
            <w:pPr>
              <w:spacing w:after="0"/>
            </w:pPr>
            <w:r/>
            <w:r>
              <w:rPr>
                <w:b/>
                <w:sz w:val="18"/>
              </w:rPr>
              <w:t>Feature</w:t>
            </w:r>
          </w:p>
        </w:tc>
        <w:tc>
          <w:tcPr>
            <w:tcW w:type="dxa" w:w="3408"/>
            <w:vAlign w:val="center"/>
            <w:shd w:fill="D9EAF7"/>
          </w:tcPr>
          <w:p>
            <w:pPr>
              <w:spacing w:after="0"/>
            </w:pPr>
            <w:r/>
            <w:r>
              <w:rPr>
                <w:b/>
                <w:sz w:val="18"/>
              </w:rPr>
              <w:t>Purpose</w:t>
            </w:r>
          </w:p>
        </w:tc>
      </w:tr>
      <w:tr>
        <w:tc>
          <w:tcPr>
            <w:tcW w:type="dxa" w:w="3408"/>
            <w:vAlign w:val="center"/>
          </w:tcPr>
          <w:p>
            <w:pPr>
              <w:spacing w:after="0"/>
            </w:pPr>
            <w:r/>
            <w:r>
              <w:rPr>
                <w:b w:val="0"/>
                <w:sz w:val="17"/>
              </w:rPr>
              <w:t>1-7</w:t>
            </w:r>
          </w:p>
        </w:tc>
        <w:tc>
          <w:tcPr>
            <w:tcW w:type="dxa" w:w="3408"/>
            <w:vAlign w:val="center"/>
          </w:tcPr>
          <w:p>
            <w:pPr>
              <w:spacing w:after="0"/>
            </w:pPr>
            <w:r/>
            <w:r>
              <w:rPr>
                <w:b w:val="0"/>
                <w:sz w:val="17"/>
              </w:rPr>
              <w:t>7 node-type one-hot fields</w:t>
            </w:r>
          </w:p>
        </w:tc>
        <w:tc>
          <w:tcPr>
            <w:tcW w:type="dxa" w:w="3408"/>
            <w:vAlign w:val="center"/>
          </w:tcPr>
          <w:p>
            <w:pPr>
              <w:spacing w:after="0"/>
            </w:pPr>
            <w:r/>
            <w:r>
              <w:rPr>
                <w:b w:val="0"/>
                <w:sz w:val="17"/>
              </w:rPr>
              <w:t>Bank system role semantics</w:t>
            </w:r>
          </w:p>
        </w:tc>
      </w:tr>
      <w:tr>
        <w:tc>
          <w:tcPr>
            <w:tcW w:type="dxa" w:w="3408"/>
            <w:vAlign w:val="center"/>
          </w:tcPr>
          <w:p>
            <w:pPr>
              <w:spacing w:after="0"/>
            </w:pPr>
            <w:r/>
            <w:r>
              <w:rPr>
                <w:b w:val="0"/>
                <w:sz w:val="17"/>
              </w:rPr>
              <w:t>8-10</w:t>
            </w:r>
          </w:p>
        </w:tc>
        <w:tc>
          <w:tcPr>
            <w:tcW w:type="dxa" w:w="3408"/>
            <w:vAlign w:val="center"/>
          </w:tcPr>
          <w:p>
            <w:pPr>
              <w:spacing w:after="0"/>
            </w:pPr>
            <w:r/>
            <w:r>
              <w:rPr>
                <w:b w:val="0"/>
                <w:sz w:val="17"/>
              </w:rPr>
              <w:t>public/internal/critical exposure one-hot</w:t>
            </w:r>
          </w:p>
        </w:tc>
        <w:tc>
          <w:tcPr>
            <w:tcW w:type="dxa" w:w="3408"/>
            <w:vAlign w:val="center"/>
          </w:tcPr>
          <w:p>
            <w:pPr>
              <w:spacing w:after="0"/>
            </w:pPr>
            <w:r/>
            <w:r>
              <w:rPr>
                <w:b w:val="0"/>
                <w:sz w:val="17"/>
              </w:rPr>
              <w:t>Environmental reachability/criticality</w:t>
            </w:r>
          </w:p>
        </w:tc>
      </w:tr>
      <w:tr>
        <w:tc>
          <w:tcPr>
            <w:tcW w:type="dxa" w:w="3408"/>
            <w:vAlign w:val="center"/>
          </w:tcPr>
          <w:p>
            <w:pPr>
              <w:spacing w:after="0"/>
            </w:pPr>
            <w:r/>
            <w:r>
              <w:rPr>
                <w:b w:val="0"/>
                <w:sz w:val="17"/>
              </w:rPr>
              <w:t>11</w:t>
            </w:r>
          </w:p>
        </w:tc>
        <w:tc>
          <w:tcPr>
            <w:tcW w:type="dxa" w:w="3408"/>
            <w:vAlign w:val="center"/>
          </w:tcPr>
          <w:p>
            <w:pPr>
              <w:spacing w:after="0"/>
            </w:pPr>
            <w:r/>
            <w:r>
              <w:rPr>
                <w:b w:val="0"/>
                <w:sz w:val="17"/>
              </w:rPr>
              <w:t>base_cvss_max</w:t>
            </w:r>
          </w:p>
        </w:tc>
        <w:tc>
          <w:tcPr>
            <w:tcW w:type="dxa" w:w="3408"/>
            <w:vAlign w:val="center"/>
          </w:tcPr>
          <w:p>
            <w:pPr>
              <w:spacing w:after="0"/>
            </w:pPr>
            <w:r/>
            <w:r>
              <w:rPr>
                <w:b w:val="0"/>
                <w:sz w:val="17"/>
              </w:rPr>
              <w:t>Official NVD base vulnerability severity</w:t>
            </w:r>
          </w:p>
        </w:tc>
      </w:tr>
      <w:tr>
        <w:tc>
          <w:tcPr>
            <w:tcW w:type="dxa" w:w="3408"/>
            <w:vAlign w:val="center"/>
          </w:tcPr>
          <w:p>
            <w:pPr>
              <w:spacing w:after="0"/>
            </w:pPr>
            <w:r/>
            <w:r>
              <w:rPr>
                <w:b w:val="0"/>
                <w:sz w:val="17"/>
              </w:rPr>
              <w:t>12</w:t>
            </w:r>
          </w:p>
        </w:tc>
        <w:tc>
          <w:tcPr>
            <w:tcW w:type="dxa" w:w="3408"/>
            <w:vAlign w:val="center"/>
          </w:tcPr>
          <w:p>
            <w:pPr>
              <w:spacing w:after="0"/>
            </w:pPr>
            <w:r/>
            <w:r>
              <w:rPr>
                <w:b w:val="0"/>
                <w:sz w:val="17"/>
              </w:rPr>
              <w:t>dwm_adjusted_score</w:t>
            </w:r>
          </w:p>
        </w:tc>
        <w:tc>
          <w:tcPr>
            <w:tcW w:type="dxa" w:w="3408"/>
            <w:vAlign w:val="center"/>
          </w:tcPr>
          <w:p>
            <w:pPr>
              <w:spacing w:after="0"/>
            </w:pPr>
            <w:r/>
            <w:r>
              <w:rPr>
                <w:b w:val="0"/>
                <w:sz w:val="17"/>
              </w:rPr>
              <w:t>Contextual severity after DWM factors</w:t>
            </w:r>
          </w:p>
        </w:tc>
      </w:tr>
      <w:tr>
        <w:tc>
          <w:tcPr>
            <w:tcW w:type="dxa" w:w="3408"/>
            <w:vAlign w:val="center"/>
          </w:tcPr>
          <w:p>
            <w:pPr>
              <w:spacing w:after="0"/>
            </w:pPr>
            <w:r/>
            <w:r>
              <w:rPr>
                <w:b w:val="0"/>
                <w:sz w:val="17"/>
              </w:rPr>
              <w:t>13</w:t>
            </w:r>
          </w:p>
        </w:tc>
        <w:tc>
          <w:tcPr>
            <w:tcW w:type="dxa" w:w="3408"/>
            <w:vAlign w:val="center"/>
          </w:tcPr>
          <w:p>
            <w:pPr>
              <w:spacing w:after="0"/>
            </w:pPr>
            <w:r/>
            <w:r>
              <w:rPr>
                <w:b w:val="0"/>
                <w:sz w:val="17"/>
              </w:rPr>
              <w:t>cve_count</w:t>
            </w:r>
          </w:p>
        </w:tc>
        <w:tc>
          <w:tcPr>
            <w:tcW w:type="dxa" w:w="3408"/>
            <w:vAlign w:val="center"/>
          </w:tcPr>
          <w:p>
            <w:pPr>
              <w:spacing w:after="0"/>
            </w:pPr>
            <w:r/>
            <w:r>
              <w:rPr>
                <w:b w:val="0"/>
                <w:sz w:val="17"/>
              </w:rPr>
              <w:t>Vulnerability concentration</w:t>
            </w:r>
          </w:p>
        </w:tc>
      </w:tr>
      <w:tr>
        <w:tc>
          <w:tcPr>
            <w:tcW w:type="dxa" w:w="3408"/>
            <w:vAlign w:val="center"/>
          </w:tcPr>
          <w:p>
            <w:pPr>
              <w:spacing w:after="0"/>
            </w:pPr>
            <w:r/>
            <w:r>
              <w:rPr>
                <w:b w:val="0"/>
                <w:sz w:val="17"/>
              </w:rPr>
              <w:t>14</w:t>
            </w:r>
          </w:p>
        </w:tc>
        <w:tc>
          <w:tcPr>
            <w:tcW w:type="dxa" w:w="3408"/>
            <w:vAlign w:val="center"/>
          </w:tcPr>
          <w:p>
            <w:pPr>
              <w:spacing w:after="0"/>
            </w:pPr>
            <w:r/>
            <w:r>
              <w:rPr>
                <w:b w:val="0"/>
                <w:sz w:val="17"/>
              </w:rPr>
              <w:t>kev_listed</w:t>
            </w:r>
          </w:p>
        </w:tc>
        <w:tc>
          <w:tcPr>
            <w:tcW w:type="dxa" w:w="3408"/>
            <w:vAlign w:val="center"/>
          </w:tcPr>
          <w:p>
            <w:pPr>
              <w:spacing w:after="0"/>
            </w:pPr>
            <w:r/>
            <w:r>
              <w:rPr>
                <w:b w:val="0"/>
                <w:sz w:val="17"/>
              </w:rPr>
              <w:t>Known-exploited indicator</w:t>
            </w:r>
          </w:p>
        </w:tc>
      </w:tr>
      <w:tr>
        <w:tc>
          <w:tcPr>
            <w:tcW w:type="dxa" w:w="3408"/>
            <w:vAlign w:val="center"/>
          </w:tcPr>
          <w:p>
            <w:pPr>
              <w:spacing w:after="0"/>
            </w:pPr>
            <w:r/>
            <w:r>
              <w:rPr>
                <w:b w:val="0"/>
                <w:sz w:val="17"/>
              </w:rPr>
              <w:t>15</w:t>
            </w:r>
          </w:p>
        </w:tc>
        <w:tc>
          <w:tcPr>
            <w:tcW w:type="dxa" w:w="3408"/>
            <w:vAlign w:val="center"/>
          </w:tcPr>
          <w:p>
            <w:pPr>
              <w:spacing w:after="0"/>
            </w:pPr>
            <w:r/>
            <w:r>
              <w:rPr>
                <w:b w:val="0"/>
                <w:sz w:val="17"/>
              </w:rPr>
              <w:t>patch_unavailable</w:t>
            </w:r>
          </w:p>
        </w:tc>
        <w:tc>
          <w:tcPr>
            <w:tcW w:type="dxa" w:w="3408"/>
            <w:vAlign w:val="center"/>
          </w:tcPr>
          <w:p>
            <w:pPr>
              <w:spacing w:after="0"/>
            </w:pPr>
            <w:r/>
            <w:r>
              <w:rPr>
                <w:b w:val="0"/>
                <w:sz w:val="17"/>
              </w:rPr>
              <w:t>Persistence of exploitability</w:t>
            </w:r>
          </w:p>
        </w:tc>
      </w:tr>
      <w:tr>
        <w:tc>
          <w:tcPr>
            <w:tcW w:type="dxa" w:w="3408"/>
            <w:vAlign w:val="center"/>
          </w:tcPr>
          <w:p>
            <w:pPr>
              <w:spacing w:after="0"/>
            </w:pPr>
            <w:r/>
            <w:r>
              <w:rPr>
                <w:b w:val="0"/>
                <w:sz w:val="17"/>
              </w:rPr>
              <w:t>16</w:t>
            </w:r>
          </w:p>
        </w:tc>
        <w:tc>
          <w:tcPr>
            <w:tcW w:type="dxa" w:w="3408"/>
            <w:vAlign w:val="center"/>
          </w:tcPr>
          <w:p>
            <w:pPr>
              <w:spacing w:after="0"/>
            </w:pPr>
            <w:r/>
            <w:r>
              <w:rPr>
                <w:b w:val="0"/>
                <w:sz w:val="17"/>
              </w:rPr>
              <w:t>age_days_normalized</w:t>
            </w:r>
          </w:p>
        </w:tc>
        <w:tc>
          <w:tcPr>
            <w:tcW w:type="dxa" w:w="3408"/>
            <w:vAlign w:val="center"/>
          </w:tcPr>
          <w:p>
            <w:pPr>
              <w:spacing w:after="0"/>
            </w:pPr>
            <w:r/>
            <w:r>
              <w:rPr>
                <w:b w:val="0"/>
                <w:sz w:val="17"/>
              </w:rPr>
              <w:t>Vulnerability age</w:t>
            </w:r>
          </w:p>
        </w:tc>
      </w:tr>
      <w:tr>
        <w:tc>
          <w:tcPr>
            <w:tcW w:type="dxa" w:w="3408"/>
            <w:vAlign w:val="center"/>
          </w:tcPr>
          <w:p>
            <w:pPr>
              <w:spacing w:after="0"/>
            </w:pPr>
            <w:r/>
            <w:r>
              <w:rPr>
                <w:b w:val="0"/>
                <w:sz w:val="17"/>
              </w:rPr>
              <w:t>17</w:t>
            </w:r>
          </w:p>
        </w:tc>
        <w:tc>
          <w:tcPr>
            <w:tcW w:type="dxa" w:w="3408"/>
            <w:vAlign w:val="center"/>
          </w:tcPr>
          <w:p>
            <w:pPr>
              <w:spacing w:after="0"/>
            </w:pPr>
            <w:r/>
            <w:r>
              <w:rPr>
                <w:b w:val="0"/>
                <w:sz w:val="17"/>
              </w:rPr>
              <w:t>degree_normalized</w:t>
            </w:r>
          </w:p>
        </w:tc>
        <w:tc>
          <w:tcPr>
            <w:tcW w:type="dxa" w:w="3408"/>
            <w:vAlign w:val="center"/>
          </w:tcPr>
          <w:p>
            <w:pPr>
              <w:spacing w:after="0"/>
            </w:pPr>
            <w:r/>
            <w:r>
              <w:rPr>
                <w:b w:val="0"/>
                <w:sz w:val="17"/>
              </w:rPr>
              <w:t>Connectivity/pivot opportunity</w:t>
            </w:r>
          </w:p>
        </w:tc>
      </w:tr>
      <w:tr>
        <w:tc>
          <w:tcPr>
            <w:tcW w:type="dxa" w:w="3408"/>
            <w:vAlign w:val="center"/>
          </w:tcPr>
          <w:p>
            <w:pPr>
              <w:spacing w:after="0"/>
            </w:pPr>
            <w:r/>
            <w:r>
              <w:rPr>
                <w:b w:val="0"/>
                <w:sz w:val="17"/>
              </w:rPr>
              <w:t>18</w:t>
            </w:r>
          </w:p>
        </w:tc>
        <w:tc>
          <w:tcPr>
            <w:tcW w:type="dxa" w:w="3408"/>
            <w:vAlign w:val="center"/>
          </w:tcPr>
          <w:p>
            <w:pPr>
              <w:spacing w:after="0"/>
            </w:pPr>
            <w:r/>
            <w:r>
              <w:rPr>
                <w:b w:val="0"/>
                <w:sz w:val="17"/>
              </w:rPr>
              <w:t>betweenness_normalized</w:t>
            </w:r>
          </w:p>
        </w:tc>
        <w:tc>
          <w:tcPr>
            <w:tcW w:type="dxa" w:w="3408"/>
            <w:vAlign w:val="center"/>
          </w:tcPr>
          <w:p>
            <w:pPr>
              <w:spacing w:after="0"/>
            </w:pPr>
            <w:r/>
            <w:r>
              <w:rPr>
                <w:b w:val="0"/>
                <w:sz w:val="17"/>
              </w:rPr>
              <w:t>Potential bridge/pivot importance</w:t>
            </w:r>
          </w:p>
        </w:tc>
      </w:tr>
      <w:tr>
        <w:tc>
          <w:tcPr>
            <w:tcW w:type="dxa" w:w="3408"/>
            <w:vAlign w:val="center"/>
          </w:tcPr>
          <w:p>
            <w:pPr>
              <w:spacing w:after="0"/>
            </w:pPr>
            <w:r/>
            <w:r>
              <w:rPr>
                <w:b w:val="0"/>
                <w:sz w:val="17"/>
              </w:rPr>
              <w:t>19</w:t>
            </w:r>
          </w:p>
        </w:tc>
        <w:tc>
          <w:tcPr>
            <w:tcW w:type="dxa" w:w="3408"/>
            <w:vAlign w:val="center"/>
          </w:tcPr>
          <w:p>
            <w:pPr>
              <w:spacing w:after="0"/>
            </w:pPr>
            <w:r/>
            <w:r>
              <w:rPr>
                <w:b w:val="0"/>
                <w:sz w:val="17"/>
              </w:rPr>
              <w:t>is_entry_node</w:t>
            </w:r>
          </w:p>
        </w:tc>
        <w:tc>
          <w:tcPr>
            <w:tcW w:type="dxa" w:w="3408"/>
            <w:vAlign w:val="center"/>
          </w:tcPr>
          <w:p>
            <w:pPr>
              <w:spacing w:after="0"/>
            </w:pPr>
            <w:r/>
            <w:r>
              <w:rPr>
                <w:b w:val="0"/>
                <w:sz w:val="17"/>
              </w:rPr>
              <w:t>Given start point</w:t>
            </w:r>
          </w:p>
        </w:tc>
      </w:tr>
      <w:tr>
        <w:tc>
          <w:tcPr>
            <w:tcW w:type="dxa" w:w="3408"/>
            <w:vAlign w:val="center"/>
          </w:tcPr>
          <w:p>
            <w:pPr>
              <w:spacing w:after="0"/>
            </w:pPr>
            <w:r/>
            <w:r>
              <w:rPr>
                <w:b w:val="0"/>
                <w:sz w:val="17"/>
              </w:rPr>
              <w:t>20</w:t>
            </w:r>
          </w:p>
        </w:tc>
        <w:tc>
          <w:tcPr>
            <w:tcW w:type="dxa" w:w="3408"/>
            <w:vAlign w:val="center"/>
          </w:tcPr>
          <w:p>
            <w:pPr>
              <w:spacing w:after="0"/>
            </w:pPr>
            <w:r/>
            <w:r>
              <w:rPr>
                <w:b w:val="0"/>
                <w:sz w:val="17"/>
              </w:rPr>
              <w:t>is_target_node</w:t>
            </w:r>
          </w:p>
        </w:tc>
        <w:tc>
          <w:tcPr>
            <w:tcW w:type="dxa" w:w="3408"/>
            <w:vAlign w:val="center"/>
          </w:tcPr>
          <w:p>
            <w:pPr>
              <w:spacing w:after="0"/>
            </w:pPr>
            <w:r/>
            <w:r>
              <w:rPr>
                <w:b w:val="0"/>
                <w:sz w:val="17"/>
              </w:rPr>
              <w:t>Given objective</w:t>
            </w:r>
          </w:p>
        </w:tc>
      </w:tr>
    </w:tbl>
    <w:p>
      <w:pPr>
        <w:spacing w:after="0"/>
      </w:pPr>
    </w:p>
    <w:p>
      <w:r>
        <w:t>The final mapping must be implemented from the real CyberSentinel data schema. Keep all continuous features normalized using training-set statistics saved to `normalization.json` so inference cannot drift.</w:t>
      </w:r>
    </w:p>
    <w:p>
      <w:pPr>
        <w:pStyle w:val="Heading2"/>
        <w:keepNext/>
      </w:pPr>
      <w:r>
        <w:t>7.3 Tensor contract</w:t>
      </w:r>
    </w:p>
    <w:p>
      <w:pPr>
        <w:pStyle w:val="CodeBlock"/>
      </w:pPr>
      <w:r>
        <w:t>A: float32 [N, N, R]   # typed directed adjacency, R = relation count</w:t>
        <w:br/>
        <w:t>F: float32 [N, P]      # banking node features, P initially 20</w:t>
        <w:br/>
        <w:t>Y: float32 [N, N]      # ground-truth path edge matrix</w:t>
        <w:br/>
        <w:t>M: float32 [N]         # node mask when padding is used</w:t>
        <w:br/>
        <w:t>E: int32   [N, N]      # optional real-edge mask for inference/decoding</w:t>
      </w:r>
    </w:p>
    <w:p>
      <w:pPr>
        <w:pStyle w:val="Heading1"/>
        <w:keepNext/>
      </w:pPr>
      <w:r>
        <w:t>8. DWM + PIGNN integration</w:t>
      </w:r>
    </w:p>
    <w:p>
      <w:r>
        <w:t>The cleanest design is to make DWM a feature/context layer and keep PIGNN as the learned structure predictor. This preserves the Phase 2 DWM contract and avoids turning the neural network into a black-box replacement for the official NVD base score.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8"/>
              </w:rPr>
              <w:t>Mode</w:t>
            </w:r>
          </w:p>
        </w:tc>
        <w:tc>
          <w:tcPr>
            <w:tcW w:type="dxa" w:w="3408"/>
            <w:vAlign w:val="center"/>
            <w:shd w:fill="D9EAF7"/>
          </w:tcPr>
          <w:p>
            <w:pPr>
              <w:spacing w:after="0"/>
            </w:pPr>
            <w:r/>
            <w:r>
              <w:rPr>
                <w:b/>
                <w:sz w:val="18"/>
              </w:rPr>
              <w:t>PIGNN behavior</w:t>
            </w:r>
          </w:p>
        </w:tc>
        <w:tc>
          <w:tcPr>
            <w:tcW w:type="dxa" w:w="3408"/>
            <w:vAlign w:val="center"/>
            <w:shd w:fill="D9EAF7"/>
          </w:tcPr>
          <w:p>
            <w:pPr>
              <w:spacing w:after="0"/>
            </w:pPr>
            <w:r/>
            <w:r>
              <w:rPr>
                <w:b/>
                <w:sz w:val="18"/>
              </w:rPr>
              <w:t>DWM behavior</w:t>
            </w:r>
          </w:p>
        </w:tc>
      </w:tr>
      <w:tr>
        <w:tc>
          <w:tcPr>
            <w:tcW w:type="dxa" w:w="3408"/>
            <w:vAlign w:val="center"/>
          </w:tcPr>
          <w:p>
            <w:pPr>
              <w:spacing w:after="0"/>
            </w:pPr>
            <w:r/>
            <w:r>
              <w:rPr>
                <w:b w:val="0"/>
                <w:sz w:val="17"/>
              </w:rPr>
              <w:t>static</w:t>
            </w:r>
          </w:p>
        </w:tc>
        <w:tc>
          <w:tcPr>
            <w:tcW w:type="dxa" w:w="3408"/>
            <w:vAlign w:val="center"/>
          </w:tcPr>
          <w:p>
            <w:pPr>
              <w:spacing w:after="0"/>
            </w:pPr>
            <w:r/>
            <w:r>
              <w:rPr>
                <w:b w:val="0"/>
                <w:sz w:val="17"/>
              </w:rPr>
              <w:t>PIGNN sees base CVSS + topology + base features</w:t>
            </w:r>
          </w:p>
        </w:tc>
        <w:tc>
          <w:tcPr>
            <w:tcW w:type="dxa" w:w="3408"/>
            <w:vAlign w:val="center"/>
          </w:tcPr>
          <w:p>
            <w:pPr>
              <w:spacing w:after="0"/>
            </w:pPr>
            <w:r/>
            <w:r>
              <w:rPr>
                <w:b w:val="0"/>
                <w:sz w:val="17"/>
              </w:rPr>
              <w:t>No contextual adjustment used</w:t>
            </w:r>
          </w:p>
        </w:tc>
      </w:tr>
      <w:tr>
        <w:tc>
          <w:tcPr>
            <w:tcW w:type="dxa" w:w="3408"/>
            <w:vAlign w:val="center"/>
          </w:tcPr>
          <w:p>
            <w:pPr>
              <w:spacing w:after="0"/>
            </w:pPr>
            <w:r/>
            <w:r>
              <w:rPr>
                <w:b w:val="0"/>
                <w:sz w:val="17"/>
              </w:rPr>
              <w:t>dwm</w:t>
            </w:r>
          </w:p>
        </w:tc>
        <w:tc>
          <w:tcPr>
            <w:tcW w:type="dxa" w:w="3408"/>
            <w:vAlign w:val="center"/>
          </w:tcPr>
          <w:p>
            <w:pPr>
              <w:spacing w:after="0"/>
            </w:pPr>
            <w:r/>
            <w:r>
              <w:rPr>
                <w:b w:val="0"/>
                <w:sz w:val="17"/>
              </w:rPr>
              <w:t>PIGNN also sees DWM-adjusted score and temporal/environmental inputs</w:t>
            </w:r>
          </w:p>
        </w:tc>
        <w:tc>
          <w:tcPr>
            <w:tcW w:type="dxa" w:w="3408"/>
            <w:vAlign w:val="center"/>
          </w:tcPr>
          <w:p>
            <w:pPr>
              <w:spacing w:after="0"/>
            </w:pPr>
            <w:r/>
            <w:r>
              <w:rPr>
                <w:b w:val="0"/>
                <w:sz w:val="17"/>
              </w:rPr>
              <w:t>DWM is calculated exactly as the current scorer defines it</w:t>
            </w:r>
          </w:p>
        </w:tc>
      </w:tr>
      <w:tr>
        <w:tc>
          <w:tcPr>
            <w:tcW w:type="dxa" w:w="3408"/>
            <w:vAlign w:val="center"/>
          </w:tcPr>
          <w:p>
            <w:pPr>
              <w:spacing w:after="0"/>
            </w:pPr>
            <w:r/>
            <w:r>
              <w:rPr>
                <w:b w:val="0"/>
                <w:sz w:val="17"/>
              </w:rPr>
              <w:t>ml</w:t>
            </w:r>
          </w:p>
        </w:tc>
        <w:tc>
          <w:tcPr>
            <w:tcW w:type="dxa" w:w="3408"/>
            <w:vAlign w:val="center"/>
          </w:tcPr>
          <w:p>
            <w:pPr>
              <w:spacing w:after="0"/>
            </w:pPr>
            <w:r/>
            <w:r>
              <w:rPr>
                <w:b w:val="0"/>
                <w:sz w:val="17"/>
              </w:rPr>
              <w:t>Not enabled in first PIGNN release</w:t>
            </w:r>
          </w:p>
        </w:tc>
        <w:tc>
          <w:tcPr>
            <w:tcW w:type="dxa" w:w="3408"/>
            <w:vAlign w:val="center"/>
          </w:tcPr>
          <w:p>
            <w:pPr>
              <w:spacing w:after="0"/>
            </w:pPr>
            <w:r/>
            <w:r>
              <w:rPr>
                <w:b w:val="0"/>
                <w:sz w:val="17"/>
              </w:rPr>
              <w:t>Existing logistic ML scorer remains a separate classical baseline</w:t>
            </w:r>
          </w:p>
        </w:tc>
      </w:tr>
    </w:tbl>
    <w:p>
      <w:pPr>
        <w:spacing w:after="0"/>
      </w:pPr>
    </w:p>
    <w:p>
      <w:pPr>
        <w:pStyle w:val="Heading2"/>
        <w:keepNext/>
      </w:pPr>
      <w:r>
        <w:t>8.1 Training rule: avoid circular labels</w:t>
      </w:r>
    </w:p>
    <w:p>
      <w:r>
        <w:t>Do not generate the PIGNN ground-truth `Y` by simply running the same DWM-weighted shortest-path function that the model is expected to improve. That would make the network learn a reproduction of the heuristic. Instead, labels should come from an independent attack-path generator/simulator plus validation rules, or from a curated/red-team scenario definition. DWM may still be included as an input feature.</w:t>
      </w:r>
    </w:p>
    <w:p>
      <w:pPr>
        <w:pStyle w:val="Heading2"/>
        <w:keepNext/>
      </w:pPr>
      <w:r>
        <w:t>8.2 Optional hybrid inference</w:t>
      </w:r>
    </w:p>
    <w:p>
      <w:r>
        <w:t>After the core PIGNN path is decoded, CyberSentinel can calculate DWM risk for the predicted path. A later research mode may combine model confidence with contextual risk, but that fusion should be a separately named experiment so results remain attributable to either PIGNN or the hybrid method.</w:t>
      </w:r>
    </w:p>
    <w:p>
      <w:pPr>
        <w:pStyle w:val="CodeBlock"/>
      </w:pPr>
      <w:r>
        <w:t>PIGNN core:</w:t>
        <w:br/>
        <w:t xml:space="preserve">    graph -&gt; Y_hat -&gt; decoded_path</w:t>
        <w:br/>
        <w:br/>
        <w:t>Context layer:</w:t>
        <w:br/>
        <w:t xml:space="preserve">    decoded_path -&gt; DWM score -&gt; contextual risk display</w:t>
        <w:br/>
        <w:br/>
        <w:t>Future optional hybrid:</w:t>
        <w:br/>
        <w:t xml:space="preserve">    decoded_path + PIGNN confidence + DWM contextual risk</w:t>
        <w:br/>
        <w:t xml:space="preserve">                         -&gt; hybrid path score</w:t>
      </w:r>
    </w:p>
    <w:p>
      <w:pPr>
        <w:pStyle w:val="Heading1"/>
        <w:keepNext/>
      </w:pPr>
      <w:r>
        <w:t>9. Training-data strategy</w:t>
      </w:r>
    </w:p>
    <w:p>
      <w:r>
        <w:t>This is the largest new workstream. The reference paper solves data scarcity by generating synthetic AD environments and associated attack paths. CyberSentinel should use the same high-level strategy but with banking topology, CVEs, exposure and attack scenarios.</w:t>
      </w:r>
    </w:p>
    <w:p>
      <w:pPr>
        <w:pStyle w:val="Heading2"/>
        <w:keepNext/>
      </w:pPr>
      <w:r>
        <w:t>9.1 Stage 1 - reproduce the paper</w:t>
      </w:r>
    </w:p>
    <w:p>
      <w:pPr>
        <w:pStyle w:val="ListNumber"/>
        <w:spacing w:after="60"/>
      </w:pPr>
      <w:r>
        <w:t>Use the supplied `.pt` dataset from the official repository.</w:t>
      </w:r>
    </w:p>
    <w:p>
      <w:pPr>
        <w:pStyle w:val="ListNumber"/>
        <w:spacing w:after="60"/>
      </w:pPr>
      <w:r>
        <w:t>Extract the model and loss into local modules without changing semantics.</w:t>
      </w:r>
    </w:p>
    <w:p>
      <w:pPr>
        <w:pStyle w:val="ListNumber"/>
        <w:spacing w:after="60"/>
      </w:pPr>
      <w:r>
        <w:t>Run a small reproduction first, then the full 5-fold setup.</w:t>
      </w:r>
    </w:p>
    <w:p>
      <w:pPr>
        <w:pStyle w:val="ListNumber"/>
        <w:spacing w:after="60"/>
      </w:pPr>
      <w:r>
        <w:t>Record AUC/F1 and confirm that the output shape is N x N.</w:t>
      </w:r>
    </w:p>
    <w:p>
      <w:pPr>
        <w:pStyle w:val="Heading2"/>
        <w:keepNext/>
      </w:pPr>
      <w:r>
        <w:t>9.2 Stage 2 - generate CyberSentinel samples</w:t>
      </w:r>
    </w:p>
    <w:p>
      <w:r>
        <w:t>Create a generator that starts from the three existing network families and produces controlled variants. Examples of variation dimensions include node count, edge connectivity, exposure, CVE assignment, KEV status, patch state, vulnerability age, and alternative attacker/target pairs. The generator must preserve a valid network schema and record the random seed for reproducibility.</w:t>
      </w:r>
    </w:p>
    <w:p>
      <w:pPr>
        <w:pStyle w:val="Heading2"/>
        <w:keepNext/>
      </w:pPr>
      <w:r>
        <w:t>9.3 Ground-truth path generation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8"/>
              </w:rPr>
              <w:t>Approach</w:t>
            </w:r>
          </w:p>
        </w:tc>
        <w:tc>
          <w:tcPr>
            <w:tcW w:type="dxa" w:w="3408"/>
            <w:vAlign w:val="center"/>
            <w:shd w:fill="D9EAF7"/>
          </w:tcPr>
          <w:p>
            <w:pPr>
              <w:spacing w:after="0"/>
            </w:pPr>
            <w:r/>
            <w:r>
              <w:rPr>
                <w:b/>
                <w:sz w:val="18"/>
              </w:rPr>
              <w:t>Use</w:t>
            </w:r>
          </w:p>
        </w:tc>
        <w:tc>
          <w:tcPr>
            <w:tcW w:type="dxa" w:w="3408"/>
            <w:vAlign w:val="center"/>
            <w:shd w:fill="D9EAF7"/>
          </w:tcPr>
          <w:p>
            <w:pPr>
              <w:spacing w:after="0"/>
            </w:pPr>
            <w:r/>
            <w:r>
              <w:rPr>
                <w:b/>
                <w:sz w:val="18"/>
              </w:rPr>
              <w:t>Risk</w:t>
            </w:r>
          </w:p>
        </w:tc>
      </w:tr>
      <w:tr>
        <w:tc>
          <w:tcPr>
            <w:tcW w:type="dxa" w:w="3408"/>
            <w:vAlign w:val="center"/>
          </w:tcPr>
          <w:p>
            <w:pPr>
              <w:spacing w:after="0"/>
            </w:pPr>
            <w:r/>
            <w:r>
              <w:rPr>
                <w:b w:val="0"/>
                <w:sz w:val="17"/>
              </w:rPr>
              <w:t>Independent attack-rule simulator</w:t>
            </w:r>
          </w:p>
        </w:tc>
        <w:tc>
          <w:tcPr>
            <w:tcW w:type="dxa" w:w="3408"/>
            <w:vAlign w:val="center"/>
          </w:tcPr>
          <w:p>
            <w:pPr>
              <w:spacing w:after="0"/>
            </w:pPr>
            <w:r/>
            <w:r>
              <w:rPr>
                <w:b w:val="0"/>
                <w:sz w:val="17"/>
              </w:rPr>
              <w:t>Preferred label generator</w:t>
            </w:r>
          </w:p>
        </w:tc>
        <w:tc>
          <w:tcPr>
            <w:tcW w:type="dxa" w:w="3408"/>
            <w:vAlign w:val="center"/>
          </w:tcPr>
          <w:p>
            <w:pPr>
              <w:spacing w:after="0"/>
            </w:pPr>
            <w:r/>
            <w:r>
              <w:rPr>
                <w:b w:val="0"/>
                <w:sz w:val="17"/>
              </w:rPr>
              <w:t>Requires careful scenario definitions</w:t>
            </w:r>
          </w:p>
        </w:tc>
      </w:tr>
      <w:tr>
        <w:tc>
          <w:tcPr>
            <w:tcW w:type="dxa" w:w="3408"/>
            <w:vAlign w:val="center"/>
          </w:tcPr>
          <w:p>
            <w:pPr>
              <w:spacing w:after="0"/>
            </w:pPr>
            <w:r/>
            <w:r>
              <w:rPr>
                <w:b w:val="0"/>
                <w:sz w:val="17"/>
              </w:rPr>
              <w:t>Red-team scenario templates</w:t>
            </w:r>
          </w:p>
        </w:tc>
        <w:tc>
          <w:tcPr>
            <w:tcW w:type="dxa" w:w="3408"/>
            <w:vAlign w:val="center"/>
          </w:tcPr>
          <w:p>
            <w:pPr>
              <w:spacing w:after="0"/>
            </w:pPr>
            <w:r/>
            <w:r>
              <w:rPr>
                <w:b w:val="0"/>
                <w:sz w:val="17"/>
              </w:rPr>
              <w:t>Good for initial curated labels</w:t>
            </w:r>
          </w:p>
        </w:tc>
        <w:tc>
          <w:tcPr>
            <w:tcW w:type="dxa" w:w="3408"/>
            <w:vAlign w:val="center"/>
          </w:tcPr>
          <w:p>
            <w:pPr>
              <w:spacing w:after="0"/>
            </w:pPr>
            <w:r/>
            <w:r>
              <w:rPr>
                <w:b w:val="0"/>
                <w:sz w:val="17"/>
              </w:rPr>
              <w:t>May be narrow</w:t>
            </w:r>
          </w:p>
        </w:tc>
      </w:tr>
      <w:tr>
        <w:tc>
          <w:tcPr>
            <w:tcW w:type="dxa" w:w="3408"/>
            <w:vAlign w:val="center"/>
          </w:tcPr>
          <w:p>
            <w:pPr>
              <w:spacing w:after="0"/>
            </w:pPr>
            <w:r/>
            <w:r>
              <w:rPr>
                <w:b w:val="0"/>
                <w:sz w:val="17"/>
              </w:rPr>
              <w:t>DWM/Dijkstra as labels</w:t>
            </w:r>
          </w:p>
        </w:tc>
        <w:tc>
          <w:tcPr>
            <w:tcW w:type="dxa" w:w="3408"/>
            <w:vAlign w:val="center"/>
          </w:tcPr>
          <w:p>
            <w:pPr>
              <w:spacing w:after="0"/>
            </w:pPr>
            <w:r/>
            <w:r>
              <w:rPr>
                <w:b w:val="0"/>
                <w:sz w:val="17"/>
              </w:rPr>
              <w:t>Baseline/bootstrapping only</w:t>
            </w:r>
          </w:p>
        </w:tc>
        <w:tc>
          <w:tcPr>
            <w:tcW w:type="dxa" w:w="3408"/>
            <w:vAlign w:val="center"/>
          </w:tcPr>
          <w:p>
            <w:pPr>
              <w:spacing w:after="0"/>
            </w:pPr>
            <w:r/>
            <w:r>
              <w:rPr>
                <w:b w:val="0"/>
                <w:sz w:val="17"/>
              </w:rPr>
              <w:t>Circular: model learns the heuristic</w:t>
            </w:r>
          </w:p>
        </w:tc>
      </w:tr>
      <w:tr>
        <w:tc>
          <w:tcPr>
            <w:tcW w:type="dxa" w:w="3408"/>
            <w:vAlign w:val="center"/>
          </w:tcPr>
          <w:p>
            <w:pPr>
              <w:spacing w:after="0"/>
            </w:pPr>
            <w:r/>
            <w:r>
              <w:rPr>
                <w:b w:val="0"/>
                <w:sz w:val="17"/>
              </w:rPr>
              <w:t>Existing security simulation framework</w:t>
            </w:r>
          </w:p>
        </w:tc>
        <w:tc>
          <w:tcPr>
            <w:tcW w:type="dxa" w:w="3408"/>
            <w:vAlign w:val="center"/>
          </w:tcPr>
          <w:p>
            <w:pPr>
              <w:spacing w:after="0"/>
            </w:pPr>
            <w:r/>
            <w:r>
              <w:rPr>
                <w:b w:val="0"/>
                <w:sz w:val="17"/>
              </w:rPr>
              <w:t>Strong future option</w:t>
            </w:r>
          </w:p>
        </w:tc>
        <w:tc>
          <w:tcPr>
            <w:tcW w:type="dxa" w:w="3408"/>
            <w:vAlign w:val="center"/>
          </w:tcPr>
          <w:p>
            <w:pPr>
              <w:spacing w:after="0"/>
            </w:pPr>
            <w:r/>
            <w:r>
              <w:rPr>
                <w:b w:val="0"/>
                <w:sz w:val="17"/>
              </w:rPr>
              <w:t>Higher setup cost</w:t>
            </w:r>
          </w:p>
        </w:tc>
      </w:tr>
    </w:tbl>
    <w:p>
      <w:pPr>
        <w:spacing w:after="0"/>
      </w:pPr>
    </w:p>
    <w:p>
      <w:pPr>
        <w:pStyle w:val="Heading2"/>
        <w:keepNext/>
      </w:pPr>
      <w:r>
        <w:t>9.4 Dataset record</w:t>
      </w:r>
    </w:p>
    <w:p>
      <w:pPr>
        <w:pStyle w:val="CodeBlock"/>
      </w:pPr>
      <w:r>
        <w:t>sample_id</w:t>
        <w:br/>
        <w:t>network_id</w:t>
        <w:br/>
        <w:t>seed</w:t>
        <w:br/>
        <w:t>node_order.json</w:t>
        <w:br/>
        <w:t>A.pt</w:t>
        <w:br/>
        <w:t>F.pt</w:t>
        <w:br/>
        <w:t>Y.pt</w:t>
        <w:br/>
        <w:t>entry_node</w:t>
        <w:br/>
        <w:t>target_node</w:t>
        <w:br/>
        <w:t>feature_stats_version</w:t>
        <w:br/>
        <w:t>label_source</w:t>
        <w:br/>
        <w:t>validation_status</w:t>
      </w:r>
    </w:p>
    <w:p>
      <w:pPr>
        <w:pStyle w:val="Heading1"/>
        <w:keepNext/>
      </w:pPr>
      <w:r>
        <w:t>10. Training pipeline</w:t>
      </w:r>
    </w:p>
    <w:p>
      <w:pPr>
        <w:pStyle w:val="Heading2"/>
        <w:keepNext/>
      </w:pPr>
      <w:r>
        <w:t>10.1 Model extraction</w:t>
      </w:r>
    </w:p>
    <w:p>
      <w:r>
        <w:t>Extract the reference notebook into modular Python. Keep the GraphSAGE message-passing semantics and path-head output semantics. Do not initially optimize the architecture; first reproduce the reference behavior.</w:t>
      </w:r>
    </w:p>
    <w:p>
      <w:pPr>
        <w:pStyle w:val="Heading2"/>
        <w:keepNext/>
      </w:pPr>
      <w:r>
        <w:t>10.2 Physics-informed loss</w:t>
      </w:r>
    </w:p>
    <w:p>
      <w:pPr>
        <w:pStyle w:val="CodeBlock"/>
      </w:pPr>
      <w:r>
        <w:t>data_loss = masked_BCE(Y_hat, Y)</w:t>
        <w:br/>
        <w:t>physics_loss = alpha * L_degree + beta * L_connectivity + zeta * L_cycle</w:t>
        <w:br/>
        <w:t>total_loss = data_loss + physics_loss</w:t>
      </w:r>
    </w:p>
    <w:p>
      <w:r>
        <w:t>The reference notebook computes three graph-structure penalties. The degree penalty discourages multiple starts/ends and branching nodes; the cycle penalty uses repeated matrix powers; the connectivity penalty uses graph/Laplacian structure. These functions should first be reproduced faithfully, then tested on directed banking graphs before any optimization.</w:t>
      </w:r>
    </w:p>
    <w:p>
      <w:pPr>
        <w:pStyle w:val="Heading2"/>
        <w:keepNext/>
      </w:pPr>
      <w:r>
        <w:t>10.3 Class imbalance</w:t>
      </w:r>
    </w:p>
    <w:p>
      <w:r>
        <w:t>Because the path matrix is sparse, almost all N x N pairs are negative. The reference code therefore masks all positives plus a small random fraction of negatives and uses class weighting. CyberSentinel should retain the strategy but tune the negative sampling rate/positive weight on its own dataset.</w:t>
      </w:r>
    </w:p>
    <w:p>
      <w:pPr>
        <w:pStyle w:val="Heading2"/>
        <w:keepNext/>
      </w:pPr>
      <w:r>
        <w:t>10.4 Training configuration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8"/>
              </w:rPr>
              <w:t>Setting</w:t>
            </w:r>
          </w:p>
        </w:tc>
        <w:tc>
          <w:tcPr>
            <w:tcW w:type="dxa" w:w="3408"/>
            <w:vAlign w:val="center"/>
            <w:shd w:fill="D9EAF7"/>
          </w:tcPr>
          <w:p>
            <w:pPr>
              <w:spacing w:after="0"/>
            </w:pPr>
            <w:r/>
            <w:r>
              <w:rPr>
                <w:b/>
                <w:sz w:val="18"/>
              </w:rPr>
              <w:t>Reference notebook</w:t>
            </w:r>
          </w:p>
        </w:tc>
        <w:tc>
          <w:tcPr>
            <w:tcW w:type="dxa" w:w="3408"/>
            <w:vAlign w:val="center"/>
            <w:shd w:fill="D9EAF7"/>
          </w:tcPr>
          <w:p>
            <w:pPr>
              <w:spacing w:after="0"/>
            </w:pPr>
            <w:r/>
            <w:r>
              <w:rPr>
                <w:b/>
                <w:sz w:val="18"/>
              </w:rPr>
              <w:t>CyberSentinel starting point</w:t>
            </w:r>
          </w:p>
        </w:tc>
      </w:tr>
      <w:tr>
        <w:tc>
          <w:tcPr>
            <w:tcW w:type="dxa" w:w="3408"/>
            <w:vAlign w:val="center"/>
          </w:tcPr>
          <w:p>
            <w:pPr>
              <w:spacing w:after="0"/>
            </w:pPr>
            <w:r/>
            <w:r>
              <w:rPr>
                <w:b w:val="0"/>
                <w:sz w:val="17"/>
              </w:rPr>
              <w:t>Hidden size</w:t>
            </w:r>
          </w:p>
        </w:tc>
        <w:tc>
          <w:tcPr>
            <w:tcW w:type="dxa" w:w="3408"/>
            <w:vAlign w:val="center"/>
          </w:tcPr>
          <w:p>
            <w:pPr>
              <w:spacing w:after="0"/>
            </w:pPr>
            <w:r/>
            <w:r>
              <w:rPr>
                <w:b w:val="0"/>
                <w:sz w:val="17"/>
              </w:rPr>
              <w:t>512</w:t>
            </w:r>
          </w:p>
        </w:tc>
        <w:tc>
          <w:tcPr>
            <w:tcW w:type="dxa" w:w="3408"/>
            <w:vAlign w:val="center"/>
          </w:tcPr>
          <w:p>
            <w:pPr>
              <w:spacing w:after="0"/>
            </w:pPr>
            <w:r/>
            <w:r>
              <w:rPr>
                <w:b w:val="0"/>
                <w:sz w:val="17"/>
              </w:rPr>
              <w:t>512 initially; reduce only if memory/latency demands it</w:t>
            </w:r>
          </w:p>
        </w:tc>
      </w:tr>
      <w:tr>
        <w:tc>
          <w:tcPr>
            <w:tcW w:type="dxa" w:w="3408"/>
            <w:vAlign w:val="center"/>
          </w:tcPr>
          <w:p>
            <w:pPr>
              <w:spacing w:after="0"/>
            </w:pPr>
            <w:r/>
            <w:r>
              <w:rPr>
                <w:b w:val="0"/>
                <w:sz w:val="17"/>
              </w:rPr>
              <w:t>Path head</w:t>
            </w:r>
          </w:p>
        </w:tc>
        <w:tc>
          <w:tcPr>
            <w:tcW w:type="dxa" w:w="3408"/>
            <w:vAlign w:val="center"/>
          </w:tcPr>
          <w:p>
            <w:pPr>
              <w:spacing w:after="0"/>
            </w:pPr>
            <w:r/>
            <w:r>
              <w:rPr>
                <w:b w:val="0"/>
                <w:sz w:val="17"/>
              </w:rPr>
              <w:t>4 hidden layers + output</w:t>
            </w:r>
          </w:p>
        </w:tc>
        <w:tc>
          <w:tcPr>
            <w:tcW w:type="dxa" w:w="3408"/>
            <w:vAlign w:val="center"/>
          </w:tcPr>
          <w:p>
            <w:pPr>
              <w:spacing w:after="0"/>
            </w:pPr>
            <w:r/>
            <w:r>
              <w:rPr>
                <w:b w:val="0"/>
                <w:sz w:val="17"/>
              </w:rPr>
              <w:t>Keep 4 hidden layers + output</w:t>
            </w:r>
          </w:p>
        </w:tc>
      </w:tr>
      <w:tr>
        <w:tc>
          <w:tcPr>
            <w:tcW w:type="dxa" w:w="3408"/>
            <w:vAlign w:val="center"/>
          </w:tcPr>
          <w:p>
            <w:pPr>
              <w:spacing w:after="0"/>
            </w:pPr>
            <w:r/>
            <w:r>
              <w:rPr>
                <w:b w:val="0"/>
                <w:sz w:val="17"/>
              </w:rPr>
              <w:t>Dropout</w:t>
            </w:r>
          </w:p>
        </w:tc>
        <w:tc>
          <w:tcPr>
            <w:tcW w:type="dxa" w:w="3408"/>
            <w:vAlign w:val="center"/>
          </w:tcPr>
          <w:p>
            <w:pPr>
              <w:spacing w:after="0"/>
            </w:pPr>
            <w:r/>
            <w:r>
              <w:rPr>
                <w:b w:val="0"/>
                <w:sz w:val="17"/>
              </w:rPr>
              <w:t>0.01-0.1 in notebook variants</w:t>
            </w:r>
          </w:p>
        </w:tc>
        <w:tc>
          <w:tcPr>
            <w:tcW w:type="dxa" w:w="3408"/>
            <w:vAlign w:val="center"/>
          </w:tcPr>
          <w:p>
            <w:pPr>
              <w:spacing w:after="0"/>
            </w:pPr>
            <w:r/>
            <w:r>
              <w:rPr>
                <w:b w:val="0"/>
                <w:sz w:val="17"/>
              </w:rPr>
              <w:t>Start at 0.1 and tune</w:t>
            </w:r>
          </w:p>
        </w:tc>
      </w:tr>
      <w:tr>
        <w:tc>
          <w:tcPr>
            <w:tcW w:type="dxa" w:w="3408"/>
            <w:vAlign w:val="center"/>
          </w:tcPr>
          <w:p>
            <w:pPr>
              <w:spacing w:after="0"/>
            </w:pPr>
            <w:r/>
            <w:r>
              <w:rPr>
                <w:b w:val="0"/>
                <w:sz w:val="17"/>
              </w:rPr>
              <w:t>Optimizer</w:t>
            </w:r>
          </w:p>
        </w:tc>
        <w:tc>
          <w:tcPr>
            <w:tcW w:type="dxa" w:w="3408"/>
            <w:vAlign w:val="center"/>
          </w:tcPr>
          <w:p>
            <w:pPr>
              <w:spacing w:after="0"/>
            </w:pPr>
            <w:r/>
            <w:r>
              <w:rPr>
                <w:b w:val="0"/>
                <w:sz w:val="17"/>
              </w:rPr>
              <w:t>Adam</w:t>
            </w:r>
          </w:p>
        </w:tc>
        <w:tc>
          <w:tcPr>
            <w:tcW w:type="dxa" w:w="3408"/>
            <w:vAlign w:val="center"/>
          </w:tcPr>
          <w:p>
            <w:pPr>
              <w:spacing w:after="0"/>
            </w:pPr>
            <w:r/>
            <w:r>
              <w:rPr>
                <w:b w:val="0"/>
                <w:sz w:val="17"/>
              </w:rPr>
              <w:t>Adam</w:t>
            </w:r>
          </w:p>
        </w:tc>
      </w:tr>
      <w:tr>
        <w:tc>
          <w:tcPr>
            <w:tcW w:type="dxa" w:w="3408"/>
            <w:vAlign w:val="center"/>
          </w:tcPr>
          <w:p>
            <w:pPr>
              <w:spacing w:after="0"/>
            </w:pPr>
            <w:r/>
            <w:r>
              <w:rPr>
                <w:b w:val="0"/>
                <w:sz w:val="17"/>
              </w:rPr>
              <w:t>LR</w:t>
            </w:r>
          </w:p>
        </w:tc>
        <w:tc>
          <w:tcPr>
            <w:tcW w:type="dxa" w:w="3408"/>
            <w:vAlign w:val="center"/>
          </w:tcPr>
          <w:p>
            <w:pPr>
              <w:spacing w:after="0"/>
            </w:pPr>
            <w:r/>
            <w:r>
              <w:rPr>
                <w:b w:val="0"/>
                <w:sz w:val="17"/>
              </w:rPr>
              <w:t>PIGNN K-fold example uses 0.001</w:t>
            </w:r>
          </w:p>
        </w:tc>
        <w:tc>
          <w:tcPr>
            <w:tcW w:type="dxa" w:w="3408"/>
            <w:vAlign w:val="center"/>
          </w:tcPr>
          <w:p>
            <w:pPr>
              <w:spacing w:after="0"/>
            </w:pPr>
            <w:r/>
            <w:r>
              <w:rPr>
                <w:b w:val="0"/>
                <w:sz w:val="17"/>
              </w:rPr>
              <w:t>Start 0.001 and validate</w:t>
            </w:r>
          </w:p>
        </w:tc>
      </w:tr>
      <w:tr>
        <w:tc>
          <w:tcPr>
            <w:tcW w:type="dxa" w:w="3408"/>
            <w:vAlign w:val="center"/>
          </w:tcPr>
          <w:p>
            <w:pPr>
              <w:spacing w:after="0"/>
            </w:pPr>
            <w:r/>
            <w:r>
              <w:rPr>
                <w:b w:val="0"/>
                <w:sz w:val="17"/>
              </w:rPr>
              <w:t>Scheduler</w:t>
            </w:r>
          </w:p>
        </w:tc>
        <w:tc>
          <w:tcPr>
            <w:tcW w:type="dxa" w:w="3408"/>
            <w:vAlign w:val="center"/>
          </w:tcPr>
          <w:p>
            <w:pPr>
              <w:spacing w:after="0"/>
            </w:pPr>
            <w:r/>
            <w:r>
              <w:rPr>
                <w:b w:val="0"/>
                <w:sz w:val="17"/>
              </w:rPr>
              <w:t>ExponentialLR gamma 0.97</w:t>
            </w:r>
          </w:p>
        </w:tc>
        <w:tc>
          <w:tcPr>
            <w:tcW w:type="dxa" w:w="3408"/>
            <w:vAlign w:val="center"/>
          </w:tcPr>
          <w:p>
            <w:pPr>
              <w:spacing w:after="0"/>
            </w:pPr>
            <w:r/>
            <w:r>
              <w:rPr>
                <w:b w:val="0"/>
                <w:sz w:val="17"/>
              </w:rPr>
              <w:t>Start with same schedule</w:t>
            </w:r>
          </w:p>
        </w:tc>
      </w:tr>
      <w:tr>
        <w:tc>
          <w:tcPr>
            <w:tcW w:type="dxa" w:w="3408"/>
            <w:vAlign w:val="center"/>
          </w:tcPr>
          <w:p>
            <w:pPr>
              <w:spacing w:after="0"/>
            </w:pPr>
            <w:r/>
            <w:r>
              <w:rPr>
                <w:b w:val="0"/>
                <w:sz w:val="17"/>
              </w:rPr>
              <w:t>Epochs</w:t>
            </w:r>
          </w:p>
        </w:tc>
        <w:tc>
          <w:tcPr>
            <w:tcW w:type="dxa" w:w="3408"/>
            <w:vAlign w:val="center"/>
          </w:tcPr>
          <w:p>
            <w:pPr>
              <w:spacing w:after="0"/>
            </w:pPr>
            <w:r/>
            <w:r>
              <w:rPr>
                <w:b w:val="0"/>
                <w:sz w:val="17"/>
              </w:rPr>
              <w:t>20 in path K-fold example</w:t>
            </w:r>
          </w:p>
        </w:tc>
        <w:tc>
          <w:tcPr>
            <w:tcW w:type="dxa" w:w="3408"/>
            <w:vAlign w:val="center"/>
          </w:tcPr>
          <w:p>
            <w:pPr>
              <w:spacing w:after="0"/>
            </w:pPr>
            <w:r/>
            <w:r>
              <w:rPr>
                <w:b w:val="0"/>
                <w:sz w:val="17"/>
              </w:rPr>
              <w:t>20 baseline; increase after dataset validation</w:t>
            </w:r>
          </w:p>
        </w:tc>
      </w:tr>
      <w:tr>
        <w:tc>
          <w:tcPr>
            <w:tcW w:type="dxa" w:w="3408"/>
            <w:vAlign w:val="center"/>
          </w:tcPr>
          <w:p>
            <w:pPr>
              <w:spacing w:after="0"/>
            </w:pPr>
            <w:r/>
            <w:r>
              <w:rPr>
                <w:b w:val="0"/>
                <w:sz w:val="17"/>
              </w:rPr>
              <w:t>CV</w:t>
            </w:r>
          </w:p>
        </w:tc>
        <w:tc>
          <w:tcPr>
            <w:tcW w:type="dxa" w:w="3408"/>
            <w:vAlign w:val="center"/>
          </w:tcPr>
          <w:p>
            <w:pPr>
              <w:spacing w:after="0"/>
            </w:pPr>
            <w:r/>
            <w:r>
              <w:rPr>
                <w:b w:val="0"/>
                <w:sz w:val="17"/>
              </w:rPr>
              <w:t>5-fold</w:t>
            </w:r>
          </w:p>
        </w:tc>
        <w:tc>
          <w:tcPr>
            <w:tcW w:type="dxa" w:w="3408"/>
            <w:vAlign w:val="center"/>
          </w:tcPr>
          <w:p>
            <w:pPr>
              <w:spacing w:after="0"/>
            </w:pPr>
            <w:r/>
            <w:r>
              <w:rPr>
                <w:b w:val="0"/>
                <w:sz w:val="17"/>
              </w:rPr>
              <w:t>5-fold + topology-family holdout</w:t>
            </w:r>
          </w:p>
        </w:tc>
      </w:tr>
    </w:tbl>
    <w:p>
      <w:pPr>
        <w:spacing w:after="0"/>
      </w:pPr>
    </w:p>
    <w:p>
      <w:pPr>
        <w:pStyle w:val="Heading1"/>
        <w:keepNext/>
      </w:pPr>
      <w:r>
        <w:t>11. Inference and path decoding</w:t>
      </w:r>
    </w:p>
    <w:p>
      <w:r>
        <w:t>The reference model outputs a probability for each ordered node pair. CyberSentinel must convert this matrix into a physically reachable path on the actual network. This decoder is essential because a neural adjacency matrix can contain probabilities on non-existent connections unless it is masked.</w:t>
      </w:r>
    </w:p>
    <w:p>
      <w:pPr>
        <w:pStyle w:val="CodeBlock"/>
      </w:pPr>
      <w:r>
        <w:t>1. Run PIGNN -&gt; Y_hat[N,N]</w:t>
        <w:br/>
        <w:t>2. real_edge_mask = adjacency(any relation)</w:t>
        <w:br/>
        <w:t>3. Y_hat = Y_hat * real_edge_mask</w:t>
        <w:br/>
        <w:t>4. remove i == j</w:t>
        <w:br/>
        <w:t>5. enforce entry_node/target_node</w:t>
        <w:br/>
        <w:t>6. edge_cost(u,v) = -log(Y_hat[u,v] + eps)</w:t>
        <w:br/>
        <w:t>7. run constrained shortest-simple-path on predicted edge costs</w:t>
        <w:br/>
        <w:t>8. output selected path + per-edge probability + path confidence</w:t>
      </w:r>
    </w:p>
    <w:p>
      <w:r>
        <w:t>For a first implementation, using the existing NetworkX path machinery on the PIGNN-derived edge costs is preferable to writing a custom search algorithm. This reuses a trusted graph library while making the neural model responsible for the learned edge-membership probabilities.</w:t>
      </w:r>
    </w:p>
    <w:p>
      <w:pPr>
        <w:pStyle w:val="Heading2"/>
        <w:keepNext/>
      </w:pPr>
      <w:r>
        <w:t>11.1 Confidence</w:t>
      </w:r>
    </w:p>
    <w:p>
      <w:r>
        <w:t>Store both the individual edge probabilities and a path-level confidence. A simple initial score is the geometric mean of selected-edge probabilities. A later calibration experiment can use temperature scaling or a validation-set threshold.</w:t>
      </w:r>
    </w:p>
    <w:p>
      <w:pPr>
        <w:pStyle w:val="Heading1"/>
        <w:keepNext/>
      </w:pPr>
      <w:r>
        <w:t>12. Backend/API integration</w:t>
      </w:r>
    </w:p>
    <w:p>
      <w:pPr>
        <w:pStyle w:val="Heading2"/>
        <w:keepNext/>
      </w:pPr>
      <w:r>
        <w:t>12.1 New modules</w:t>
      </w:r>
    </w:p>
    <w:p>
      <w:pPr>
        <w:pStyle w:val="CodeBlock"/>
      </w:pPr>
      <w:r>
        <w:t>backend/pignn/</w:t>
        <w:br/>
        <w:t xml:space="preserve">  __init__.py</w:t>
        <w:br/>
        <w:t xml:space="preserve">  config.py</w:t>
        <w:br/>
        <w:t xml:space="preserve">  model.py</w:t>
        <w:br/>
        <w:t xml:space="preserve">  loss.py</w:t>
        <w:br/>
        <w:t xml:space="preserve">  dataset.py</w:t>
        <w:br/>
        <w:t xml:space="preserve">  preprocess.py</w:t>
        <w:br/>
        <w:t xml:space="preserve">  decoder.py</w:t>
        <w:br/>
        <w:t xml:space="preserve">  inference.py</w:t>
        <w:br/>
        <w:t xml:space="preserve">  train.py</w:t>
        <w:br/>
        <w:t xml:space="preserve">  evaluate.py</w:t>
        <w:br/>
        <w:t xml:space="preserve">  explain.py</w:t>
      </w:r>
    </w:p>
    <w:p>
      <w:pPr>
        <w:pStyle w:val="Heading2"/>
        <w:keepNext/>
      </w:pPr>
      <w:r>
        <w:t>12.2 graph.py integration</w:t>
      </w:r>
    </w:p>
    <w:p>
      <w:r>
        <w:t>Do not put the full neural model inside `graph.py`. `graph.py` should continue to own topology construction and route selection. Add a thin dispatch layer that calls `pignn.inference.predict_attack_path(...)` when `algorithm == "pignn"`. The PIGNN preprocessor should be able to consume the NetworkX graph and the same node/CVE metadata already assembled by `build_graph()`.</w:t>
      </w:r>
    </w:p>
    <w:p>
      <w:pPr>
        <w:pStyle w:val="Heading2"/>
        <w:keepNext/>
      </w:pPr>
      <w:r>
        <w:t>12.3 API contract</w:t>
      </w:r>
    </w:p>
    <w:p>
      <w:pPr>
        <w:pStyle w:val="CodeBlock"/>
      </w:pPr>
      <w:r>
        <w:t>POST /simulate</w:t>
        <w:br/>
        <w:t>{</w:t>
        <w:br/>
        <w:t xml:space="preserve">  "entry_node": "api_gw_1",</w:t>
        <w:br/>
        <w:t xml:space="preserve">  "target_node": "swift_terminal",</w:t>
        <w:br/>
        <w:t xml:space="preserve">  "network_id": "enterprise-bank",</w:t>
        <w:br/>
        <w:t xml:space="preserve">  "algorithm": "pignn",</w:t>
        <w:br/>
        <w:t xml:space="preserve">  "weighting_mode": "dwm",</w:t>
        <w:br/>
        <w:t xml:space="preserve">  "path_index": 0,</w:t>
        <w:br/>
        <w:t xml:space="preserve">  "top_k": 5</w:t>
        <w:br/>
        <w:t>}</w:t>
        <w:br/>
        <w:br/>
        <w:t>SSE events should include:</w:t>
        <w:br/>
        <w:t>source -&gt; live</w:t>
        <w:br/>
        <w:t>paths -&gt; ranked decoded paths</w:t>
        <w:br/>
        <w:t>path -&gt; selected path with pignn_confidence + per-edge probabilities</w:t>
        <w:br/>
        <w:t>token -&gt; existing LLM narrative tokens</w:t>
        <w:br/>
        <w:t>done -&gt; end of stream</w:t>
      </w:r>
    </w:p>
    <w:p>
      <w:pPr>
        <w:pStyle w:val="Heading2"/>
        <w:keepNext/>
      </w:pPr>
      <w:r>
        <w:t>12.4 Offline training command</w:t>
      </w:r>
    </w:p>
    <w:p>
      <w:pPr>
        <w:pStyle w:val="CodeBlock"/>
      </w:pPr>
      <w:r>
        <w:t>python -m backend.pignn.train --config backend/pignn/config.yaml</w:t>
        <w:br/>
        <w:t>python -m backend.pignn.evaluate --checkpoint backend/weights/cybersentinel_pignn.pth</w:t>
        <w:br/>
        <w:t>python -m scripts.generate_pignn_dataset --output backend/data/pignn/generated</w:t>
      </w:r>
    </w:p>
    <w:p>
      <w:pPr>
        <w:pStyle w:val="Heading1"/>
        <w:keepNext/>
      </w:pPr>
      <w:r>
        <w:t>13. Frontend integration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b/>
                <w:sz w:val="18"/>
              </w:rPr>
              <w:t>Frontend change</w:t>
            </w:r>
          </w:p>
        </w:tc>
        <w:tc>
          <w:tcPr>
            <w:tcW w:type="dxa" w:w="5112"/>
            <w:vAlign w:val="center"/>
            <w:shd w:fill="D9EAF7"/>
          </w:tcPr>
          <w:p>
            <w:pPr>
              <w:spacing w:after="0"/>
            </w:pPr>
            <w:r/>
            <w:r>
              <w:rPr>
                <w:b/>
                <w:sz w:val="18"/>
              </w:rPr>
              <w:t>Implementation</w:t>
            </w:r>
          </w:p>
        </w:tc>
      </w:tr>
      <w:tr>
        <w:tc>
          <w:tcPr>
            <w:tcW w:type="dxa" w:w="5112"/>
            <w:vAlign w:val="center"/>
          </w:tcPr>
          <w:p>
            <w:pPr>
              <w:spacing w:after="0"/>
            </w:pPr>
            <w:r/>
            <w:r>
              <w:rPr>
                <w:b w:val="0"/>
                <w:sz w:val="17"/>
              </w:rPr>
              <w:t>ControlBar / algorithm selector</w:t>
            </w:r>
          </w:p>
        </w:tc>
        <w:tc>
          <w:tcPr>
            <w:tcW w:type="dxa" w:w="5112"/>
            <w:vAlign w:val="center"/>
          </w:tcPr>
          <w:p>
            <w:pPr>
              <w:spacing w:after="0"/>
            </w:pPr>
            <w:r/>
            <w:r>
              <w:rPr>
                <w:b w:val="0"/>
                <w:sz w:val="17"/>
              </w:rPr>
              <w:t>Add `Physics-Informed GNN` alongside Dijkstra, A* and ML-weighted.</w:t>
            </w:r>
          </w:p>
        </w:tc>
      </w:tr>
      <w:tr>
        <w:tc>
          <w:tcPr>
            <w:tcW w:type="dxa" w:w="5112"/>
            <w:vAlign w:val="center"/>
          </w:tcPr>
          <w:p>
            <w:pPr>
              <w:spacing w:after="0"/>
            </w:pPr>
            <w:r/>
            <w:r>
              <w:rPr>
                <w:b w:val="0"/>
                <w:sz w:val="17"/>
              </w:rPr>
              <w:t>useSimulation.js</w:t>
            </w:r>
          </w:p>
        </w:tc>
        <w:tc>
          <w:tcPr>
            <w:tcW w:type="dxa" w:w="5112"/>
            <w:vAlign w:val="center"/>
          </w:tcPr>
          <w:p>
            <w:pPr>
              <w:spacing w:after="0"/>
            </w:pPr>
            <w:r/>
            <w:r>
              <w:rPr>
                <w:b w:val="0"/>
                <w:sz w:val="17"/>
              </w:rPr>
              <w:t>Keep selected algorithm and weighting mode; store `pignn_confidence`, `edge_probabilities` and `algorithm_used`.</w:t>
            </w:r>
          </w:p>
        </w:tc>
      </w:tr>
      <w:tr>
        <w:tc>
          <w:tcPr>
            <w:tcW w:type="dxa" w:w="5112"/>
            <w:vAlign w:val="center"/>
          </w:tcPr>
          <w:p>
            <w:pPr>
              <w:spacing w:after="0"/>
            </w:pPr>
            <w:r/>
            <w:r>
              <w:rPr>
                <w:b w:val="0"/>
                <w:sz w:val="17"/>
              </w:rPr>
              <w:t>PathList.jsx</w:t>
            </w:r>
          </w:p>
        </w:tc>
        <w:tc>
          <w:tcPr>
            <w:tcW w:type="dxa" w:w="5112"/>
            <w:vAlign w:val="center"/>
          </w:tcPr>
          <w:p>
            <w:pPr>
              <w:spacing w:after="0"/>
            </w:pPr>
            <w:r/>
            <w:r>
              <w:rPr>
                <w:b w:val="0"/>
                <w:sz w:val="17"/>
              </w:rPr>
              <w:t>Show PIGNN path confidence and retain existing rank/hops/weight summary.</w:t>
            </w:r>
          </w:p>
        </w:tc>
      </w:tr>
      <w:tr>
        <w:tc>
          <w:tcPr>
            <w:tcW w:type="dxa" w:w="5112"/>
            <w:vAlign w:val="center"/>
          </w:tcPr>
          <w:p>
            <w:pPr>
              <w:spacing w:after="0"/>
            </w:pPr>
            <w:r/>
            <w:r>
              <w:rPr>
                <w:b w:val="0"/>
                <w:sz w:val="17"/>
              </w:rPr>
              <w:t>NetworkGraph.jsx</w:t>
            </w:r>
          </w:p>
        </w:tc>
        <w:tc>
          <w:tcPr>
            <w:tcW w:type="dxa" w:w="5112"/>
            <w:vAlign w:val="center"/>
          </w:tcPr>
          <w:p>
            <w:pPr>
              <w:spacing w:after="0"/>
            </w:pPr>
            <w:r/>
            <w:r>
              <w:rPr>
                <w:b w:val="0"/>
                <w:sz w:val="17"/>
              </w:rPr>
              <w:t>No rendering-engine rewrite; feed the decoded PIGNN path as the selected path.</w:t>
            </w:r>
          </w:p>
        </w:tc>
      </w:tr>
      <w:tr>
        <w:tc>
          <w:tcPr>
            <w:tcW w:type="dxa" w:w="5112"/>
            <w:vAlign w:val="center"/>
          </w:tcPr>
          <w:p>
            <w:pPr>
              <w:spacing w:after="0"/>
            </w:pPr>
            <w:r/>
            <w:r>
              <w:rPr>
                <w:b w:val="0"/>
                <w:sz w:val="17"/>
              </w:rPr>
              <w:t>RiskCards/SafetyCard</w:t>
            </w:r>
          </w:p>
        </w:tc>
        <w:tc>
          <w:tcPr>
            <w:tcW w:type="dxa" w:w="5112"/>
            <w:vAlign w:val="center"/>
          </w:tcPr>
          <w:p>
            <w:pPr>
              <w:spacing w:after="0"/>
            </w:pPr>
            <w:r/>
            <w:r>
              <w:rPr>
                <w:b w:val="0"/>
                <w:sz w:val="17"/>
              </w:rPr>
              <w:t>Continue showing NVD Base CVSS and DWM contextual score side-by-side.</w:t>
            </w:r>
          </w:p>
        </w:tc>
      </w:tr>
      <w:tr>
        <w:tc>
          <w:tcPr>
            <w:tcW w:type="dxa" w:w="5112"/>
            <w:vAlign w:val="center"/>
          </w:tcPr>
          <w:p>
            <w:pPr>
              <w:spacing w:after="0"/>
            </w:pPr>
            <w:r/>
            <w:r>
              <w:rPr>
                <w:b w:val="0"/>
                <w:sz w:val="17"/>
              </w:rPr>
              <w:t>StreamPanel</w:t>
            </w:r>
          </w:p>
        </w:tc>
        <w:tc>
          <w:tcPr>
            <w:tcW w:type="dxa" w:w="5112"/>
            <w:vAlign w:val="center"/>
          </w:tcPr>
          <w:p>
            <w:pPr>
              <w:spacing w:after="0"/>
            </w:pPr>
            <w:r/>
            <w:r>
              <w:rPr>
                <w:b w:val="0"/>
                <w:sz w:val="17"/>
              </w:rPr>
              <w:t>Existing LLM streaming remains downstream of the selected PIGNN path.</w:t>
            </w:r>
          </w:p>
        </w:tc>
      </w:tr>
      <w:tr>
        <w:tc>
          <w:tcPr>
            <w:tcW w:type="dxa" w:w="5112"/>
            <w:vAlign w:val="center"/>
          </w:tcPr>
          <w:p>
            <w:pPr>
              <w:spacing w:after="0"/>
            </w:pPr>
            <w:r/>
            <w:r>
              <w:rPr>
                <w:b w:val="0"/>
                <w:sz w:val="17"/>
              </w:rPr>
              <w:t>Fallback UX</w:t>
            </w:r>
          </w:p>
        </w:tc>
        <w:tc>
          <w:tcPr>
            <w:tcW w:type="dxa" w:w="5112"/>
            <w:vAlign w:val="center"/>
          </w:tcPr>
          <w:p>
            <w:pPr>
              <w:spacing w:after="0"/>
            </w:pPr>
            <w:r/>
            <w:r>
              <w:rPr>
                <w:b w:val="0"/>
                <w:sz w:val="17"/>
              </w:rPr>
              <w:t>If PIGNN backend/model is unavailable, explicitly show that the local fallback used Dijkstra/classical logic rather than pretending it used PIGNN.</w:t>
            </w:r>
          </w:p>
        </w:tc>
      </w:tr>
    </w:tbl>
    <w:p>
      <w:pPr>
        <w:spacing w:after="0"/>
      </w:pPr>
    </w:p>
    <w:p>
      <w:pPr>
        <w:pStyle w:val="Heading1"/>
        <w:keepNext/>
      </w:pPr>
      <w:r>
        <w:t>14. Evaluation, ablation and research evidence</w:t>
      </w:r>
    </w:p>
    <w:p>
      <w:pPr>
        <w:pStyle w:val="Heading2"/>
        <w:keepNext/>
      </w:pPr>
      <w:r>
        <w:t>14.1 Baselines</w:t>
      </w:r>
    </w:p>
    <w:p>
      <w:pPr>
        <w:pStyle w:val="ListBullet"/>
        <w:spacing w:after="60"/>
      </w:pPr>
      <w:r>
        <w:t>Static Dijkstra</w:t>
      </w:r>
    </w:p>
    <w:p>
      <w:pPr>
        <w:pStyle w:val="ListBullet"/>
        <w:spacing w:after="60"/>
      </w:pPr>
      <w:r>
        <w:t>DWM Dijkstra</w:t>
      </w:r>
    </w:p>
    <w:p>
      <w:pPr>
        <w:pStyle w:val="ListBullet"/>
        <w:spacing w:after="60"/>
      </w:pPr>
      <w:r>
        <w:t>A* (once genuine A* is implemented)</w:t>
      </w:r>
    </w:p>
    <w:p>
      <w:pPr>
        <w:pStyle w:val="ListBullet"/>
        <w:spacing w:after="60"/>
      </w:pPr>
      <w:r>
        <w:t>Existing ML-weighted logistic scorer</w:t>
      </w:r>
    </w:p>
    <w:p>
      <w:pPr>
        <w:pStyle w:val="ListBullet"/>
        <w:spacing w:after="60"/>
      </w:pPr>
      <w:r>
        <w:t>PIGNN without physics loss</w:t>
      </w:r>
    </w:p>
    <w:p>
      <w:pPr>
        <w:pStyle w:val="ListBullet"/>
        <w:spacing w:after="60"/>
      </w:pPr>
      <w:r>
        <w:t>PIGNN with physics loss</w:t>
      </w:r>
    </w:p>
    <w:p>
      <w:pPr>
        <w:pStyle w:val="ListBullet"/>
        <w:spacing w:after="60"/>
      </w:pPr>
      <w:r>
        <w:t>PIGNN + DWM features</w:t>
      </w:r>
    </w:p>
    <w:p>
      <w:pPr>
        <w:pStyle w:val="Heading2"/>
        <w:keepNext/>
      </w:pPr>
      <w:r>
        <w:t>14.2 Metrics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b/>
                <w:sz w:val="18"/>
              </w:rPr>
              <w:t>Metric</w:t>
            </w:r>
          </w:p>
        </w:tc>
        <w:tc>
          <w:tcPr>
            <w:tcW w:type="dxa" w:w="5112"/>
            <w:vAlign w:val="center"/>
            <w:shd w:fill="D9EAF7"/>
          </w:tcPr>
          <w:p>
            <w:pPr>
              <w:spacing w:after="0"/>
            </w:pPr>
            <w:r/>
            <w:r>
              <w:rPr>
                <w:b/>
                <w:sz w:val="18"/>
              </w:rPr>
              <w:t>Why it matters</w:t>
            </w:r>
          </w:p>
        </w:tc>
      </w:tr>
      <w:tr>
        <w:tc>
          <w:tcPr>
            <w:tcW w:type="dxa" w:w="5112"/>
            <w:vAlign w:val="center"/>
          </w:tcPr>
          <w:p>
            <w:pPr>
              <w:spacing w:after="0"/>
            </w:pPr>
            <w:r/>
            <w:r>
              <w:rPr>
                <w:b w:val="0"/>
                <w:sz w:val="17"/>
              </w:rPr>
              <w:t>ROC-AUC</w:t>
            </w:r>
          </w:p>
        </w:tc>
        <w:tc>
          <w:tcPr>
            <w:tcW w:type="dxa" w:w="5112"/>
            <w:vAlign w:val="center"/>
          </w:tcPr>
          <w:p>
            <w:pPr>
              <w:spacing w:after="0"/>
            </w:pPr>
            <w:r/>
            <w:r>
              <w:rPr>
                <w:b w:val="0"/>
                <w:sz w:val="17"/>
              </w:rPr>
              <w:t>Probability ranking quality at edge level</w:t>
            </w:r>
          </w:p>
        </w:tc>
      </w:tr>
      <w:tr>
        <w:tc>
          <w:tcPr>
            <w:tcW w:type="dxa" w:w="5112"/>
            <w:vAlign w:val="center"/>
          </w:tcPr>
          <w:p>
            <w:pPr>
              <w:spacing w:after="0"/>
            </w:pPr>
            <w:r/>
            <w:r>
              <w:rPr>
                <w:b w:val="0"/>
                <w:sz w:val="17"/>
              </w:rPr>
              <w:t>Edge precision/recall/F1</w:t>
            </w:r>
          </w:p>
        </w:tc>
        <w:tc>
          <w:tcPr>
            <w:tcW w:type="dxa" w:w="5112"/>
            <w:vAlign w:val="center"/>
          </w:tcPr>
          <w:p>
            <w:pPr>
              <w:spacing w:after="0"/>
            </w:pPr>
            <w:r/>
            <w:r>
              <w:rPr>
                <w:b w:val="0"/>
                <w:sz w:val="17"/>
              </w:rPr>
              <w:t>How accurately individual path edges are identified</w:t>
            </w:r>
          </w:p>
        </w:tc>
      </w:tr>
      <w:tr>
        <w:tc>
          <w:tcPr>
            <w:tcW w:type="dxa" w:w="5112"/>
            <w:vAlign w:val="center"/>
          </w:tcPr>
          <w:p>
            <w:pPr>
              <w:spacing w:after="0"/>
            </w:pPr>
            <w:r/>
            <w:r>
              <w:rPr>
                <w:b w:val="0"/>
                <w:sz w:val="17"/>
              </w:rPr>
              <w:t>Path exact match</w:t>
            </w:r>
          </w:p>
        </w:tc>
        <w:tc>
          <w:tcPr>
            <w:tcW w:type="dxa" w:w="5112"/>
            <w:vAlign w:val="center"/>
          </w:tcPr>
          <w:p>
            <w:pPr>
              <w:spacing w:after="0"/>
            </w:pPr>
            <w:r/>
            <w:r>
              <w:rPr>
                <w:b w:val="0"/>
                <w:sz w:val="17"/>
              </w:rPr>
              <w:t>Whether the predicted full sequence matches the label</w:t>
            </w:r>
          </w:p>
        </w:tc>
      </w:tr>
      <w:tr>
        <w:tc>
          <w:tcPr>
            <w:tcW w:type="dxa" w:w="5112"/>
            <w:vAlign w:val="center"/>
          </w:tcPr>
          <w:p>
            <w:pPr>
              <w:spacing w:after="0"/>
            </w:pPr>
            <w:r/>
            <w:r>
              <w:rPr>
                <w:b w:val="0"/>
                <w:sz w:val="17"/>
              </w:rPr>
              <w:t>Path edge-set F1</w:t>
            </w:r>
          </w:p>
        </w:tc>
        <w:tc>
          <w:tcPr>
            <w:tcW w:type="dxa" w:w="5112"/>
            <w:vAlign w:val="center"/>
          </w:tcPr>
          <w:p>
            <w:pPr>
              <w:spacing w:after="0"/>
            </w:pPr>
            <w:r/>
            <w:r>
              <w:rPr>
                <w:b w:val="0"/>
                <w:sz w:val="17"/>
              </w:rPr>
              <w:t>Partial credit for mostly correct paths</w:t>
            </w:r>
          </w:p>
        </w:tc>
      </w:tr>
      <w:tr>
        <w:tc>
          <w:tcPr>
            <w:tcW w:type="dxa" w:w="5112"/>
            <w:vAlign w:val="center"/>
          </w:tcPr>
          <w:p>
            <w:pPr>
              <w:spacing w:after="0"/>
            </w:pPr>
            <w:r/>
            <w:r>
              <w:rPr>
                <w:b w:val="0"/>
                <w:sz w:val="17"/>
              </w:rPr>
              <w:t>Connectivity-valid rate</w:t>
            </w:r>
          </w:p>
        </w:tc>
        <w:tc>
          <w:tcPr>
            <w:tcW w:type="dxa" w:w="5112"/>
            <w:vAlign w:val="center"/>
          </w:tcPr>
          <w:p>
            <w:pPr>
              <w:spacing w:after="0"/>
            </w:pPr>
            <w:r/>
            <w:r>
              <w:rPr>
                <w:b w:val="0"/>
                <w:sz w:val="17"/>
              </w:rPr>
              <w:t>Predictions form one route from entry to target</w:t>
            </w:r>
          </w:p>
        </w:tc>
      </w:tr>
      <w:tr>
        <w:tc>
          <w:tcPr>
            <w:tcW w:type="dxa" w:w="5112"/>
            <w:vAlign w:val="center"/>
          </w:tcPr>
          <w:p>
            <w:pPr>
              <w:spacing w:after="0"/>
            </w:pPr>
            <w:r/>
            <w:r>
              <w:rPr>
                <w:b w:val="0"/>
                <w:sz w:val="17"/>
              </w:rPr>
              <w:t>Cycle rate</w:t>
            </w:r>
          </w:p>
        </w:tc>
        <w:tc>
          <w:tcPr>
            <w:tcW w:type="dxa" w:w="5112"/>
            <w:vAlign w:val="center"/>
          </w:tcPr>
          <w:p>
            <w:pPr>
              <w:spacing w:after="0"/>
            </w:pPr>
            <w:r/>
            <w:r>
              <w:rPr>
                <w:b w:val="0"/>
                <w:sz w:val="17"/>
              </w:rPr>
              <w:t>Physics constraint effectiveness</w:t>
            </w:r>
          </w:p>
        </w:tc>
      </w:tr>
      <w:tr>
        <w:tc>
          <w:tcPr>
            <w:tcW w:type="dxa" w:w="5112"/>
            <w:vAlign w:val="center"/>
          </w:tcPr>
          <w:p>
            <w:pPr>
              <w:spacing w:after="0"/>
            </w:pPr>
            <w:r/>
            <w:r>
              <w:rPr>
                <w:b w:val="0"/>
                <w:sz w:val="17"/>
              </w:rPr>
              <w:t>Branch rate</w:t>
            </w:r>
          </w:p>
        </w:tc>
        <w:tc>
          <w:tcPr>
            <w:tcW w:type="dxa" w:w="5112"/>
            <w:vAlign w:val="center"/>
          </w:tcPr>
          <w:p>
            <w:pPr>
              <w:spacing w:after="0"/>
            </w:pPr>
            <w:r/>
            <w:r>
              <w:rPr>
                <w:b w:val="0"/>
                <w:sz w:val="17"/>
              </w:rPr>
              <w:t>Physics constraint effectiveness</w:t>
            </w:r>
          </w:p>
        </w:tc>
      </w:tr>
      <w:tr>
        <w:tc>
          <w:tcPr>
            <w:tcW w:type="dxa" w:w="5112"/>
            <w:vAlign w:val="center"/>
          </w:tcPr>
          <w:p>
            <w:pPr>
              <w:spacing w:after="0"/>
            </w:pPr>
            <w:r/>
            <w:r>
              <w:rPr>
                <w:b w:val="0"/>
                <w:sz w:val="17"/>
              </w:rPr>
              <w:t>Inference latency</w:t>
            </w:r>
          </w:p>
        </w:tc>
        <w:tc>
          <w:tcPr>
            <w:tcW w:type="dxa" w:w="5112"/>
            <w:vAlign w:val="center"/>
          </w:tcPr>
          <w:p>
            <w:pPr>
              <w:spacing w:after="0"/>
            </w:pPr>
            <w:r/>
            <w:r>
              <w:rPr>
                <w:b w:val="0"/>
                <w:sz w:val="17"/>
              </w:rPr>
              <w:t>Operational suitability for an interactive dashboard</w:t>
            </w:r>
          </w:p>
        </w:tc>
      </w:tr>
    </w:tbl>
    <w:p>
      <w:pPr>
        <w:spacing w:after="0"/>
      </w:pPr>
    </w:p>
    <w:p>
      <w:pPr>
        <w:pStyle w:val="Heading2"/>
        <w:keepNext/>
      </w:pPr>
      <w:r>
        <w:t>14.3 Ablations</w:t>
      </w:r>
    </w:p>
    <w:p>
      <w:r>
        <w:t>The most useful experiment for this project is a controlled comparison of the exact same training set with and without the physics-informed loss. A second experiment should compare PIGNN with and without DWM features. A third should hold out an entire topology family so the team can discuss generalization rather than only random-sample performance.</w:t>
      </w:r>
    </w:p>
    <w:p>
      <w:pPr>
        <w:pStyle w:val="Heading1"/>
        <w:keepNext/>
      </w:pPr>
      <w:r>
        <w:t>15. Proposed repository changes</w:t>
      </w:r>
    </w:p>
    <w:p>
      <w:pPr>
        <w:pStyle w:val="CodeBlock"/>
      </w:pPr>
      <w:r>
        <w:t>CyberSentinel/</w:t>
        <w:br/>
        <w:t>├── backend/</w:t>
        <w:br/>
        <w:t>│   ├── graph.py                  # existing topology + classical paths</w:t>
        <w:br/>
        <w:t>│   ├── dwm_scorer.py             # existing DWM</w:t>
        <w:br/>
        <w:t>│   ├── ml_scorer.py              # existing ML baseline</w:t>
        <w:br/>
        <w:t>│   ├── pignn/</w:t>
        <w:br/>
        <w:t>│   │   ├── __init__.py</w:t>
        <w:br/>
        <w:t>│   │   ├── config.py</w:t>
        <w:br/>
        <w:t>│   │   ├── model.py</w:t>
        <w:br/>
        <w:t>│   │   ├── loss.py</w:t>
        <w:br/>
        <w:t>│   │   ├── dataset.py</w:t>
        <w:br/>
        <w:t>│   │   ├── preprocess.py</w:t>
        <w:br/>
        <w:t>│   │   ├── decoder.py</w:t>
        <w:br/>
        <w:t>│   │   ├── inference.py</w:t>
        <w:br/>
        <w:t>│   │   ├── train.py</w:t>
        <w:br/>
        <w:t>│   │   ├── evaluate.py</w:t>
        <w:br/>
        <w:t>│   │   └── explain.py</w:t>
        <w:br/>
        <w:t>│   ├── weights/</w:t>
        <w:br/>
        <w:t>│   │   └── cybersentinel_pignn.pth</w:t>
        <w:br/>
        <w:t>│   └── data/</w:t>
        <w:br/>
        <w:t>│       └── pignn/</w:t>
        <w:br/>
        <w:t>│           ├── feature_schema.json</w:t>
        <w:br/>
        <w:t>│           ├── edge_types.json</w:t>
        <w:br/>
        <w:t>│           ├── normalization.json</w:t>
        <w:br/>
        <w:t>│           ├── generated/</w:t>
        <w:br/>
        <w:t>│           └── processed/</w:t>
        <w:br/>
        <w:t>├── scripts/</w:t>
        <w:br/>
        <w:t>│   ├── generate_pignn_dataset.py</w:t>
        <w:br/>
        <w:t>│   ├── validate_pignn_dataset.py</w:t>
        <w:br/>
        <w:t>│   └── benchmark_pignn.py</w:t>
        <w:br/>
        <w:t>└── frontend/</w:t>
        <w:br/>
        <w:t xml:space="preserve">    └── src/</w:t>
        <w:br/>
        <w:t xml:space="preserve">        ├── hooks/useSimulation.js</w:t>
        <w:br/>
        <w:t xml:space="preserve">        ├── api/simulate.js</w:t>
        <w:br/>
        <w:t xml:space="preserve">        └── components/ControlBar.jsx / PathList.jsx / RiskCards.jsx ...</w:t>
      </w:r>
    </w:p>
    <w:p>
      <w:pPr>
        <w:pStyle w:val="Heading2"/>
        <w:keepNext/>
      </w:pPr>
      <w:r>
        <w:t>Files that should not be repurposed</w:t>
      </w:r>
    </w:p>
    <w:p>
      <w:pPr>
        <w:pStyle w:val="ListBullet"/>
        <w:spacing w:after="60"/>
      </w:pPr>
      <w:r>
        <w:t>Do not replace `dwm_scorer.py` with the PIGNN.</w:t>
      </w:r>
    </w:p>
    <w:p>
      <w:pPr>
        <w:pStyle w:val="ListBullet"/>
        <w:spacing w:after="60"/>
      </w:pPr>
      <w:r>
        <w:t>Do not embed the entire reference notebook into `graph.py`.</w:t>
      </w:r>
    </w:p>
    <w:p>
      <w:pPr>
        <w:pStyle w:val="ListBullet"/>
        <w:spacing w:after="60"/>
      </w:pPr>
      <w:r>
        <w:t>Do not change the meaning of NVD base CVSS to make it a learned score.</w:t>
      </w:r>
    </w:p>
    <w:p>
      <w:pPr>
        <w:pStyle w:val="ListBullet"/>
        <w:spacing w:after="60"/>
      </w:pPr>
      <w:r>
        <w:t>Do not silently use the paper AD weights on banking data.</w:t>
      </w:r>
    </w:p>
    <w:p>
      <w:pPr>
        <w:pStyle w:val="Heading1"/>
        <w:keepNext/>
      </w:pPr>
      <w:r>
        <w:t>16. Implementation milestones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8"/>
              </w:rPr>
              <w:t>Milestone</w:t>
            </w:r>
          </w:p>
        </w:tc>
        <w:tc>
          <w:tcPr>
            <w:tcW w:type="dxa" w:w="3408"/>
            <w:vAlign w:val="center"/>
            <w:shd w:fill="D9EAF7"/>
          </w:tcPr>
          <w:p>
            <w:pPr>
              <w:spacing w:after="0"/>
            </w:pPr>
            <w:r/>
            <w:r>
              <w:rPr>
                <w:b/>
                <w:sz w:val="18"/>
              </w:rPr>
              <w:t>Deliverable</w:t>
            </w:r>
          </w:p>
        </w:tc>
        <w:tc>
          <w:tcPr>
            <w:tcW w:type="dxa" w:w="3408"/>
            <w:vAlign w:val="center"/>
            <w:shd w:fill="D9EAF7"/>
          </w:tcPr>
          <w:p>
            <w:pPr>
              <w:spacing w:after="0"/>
            </w:pPr>
            <w:r/>
            <w:r>
              <w:rPr>
                <w:b/>
                <w:sz w:val="18"/>
              </w:rPr>
              <w:t>Definition of done</w:t>
            </w:r>
          </w:p>
        </w:tc>
      </w:tr>
      <w:tr>
        <w:tc>
          <w:tcPr>
            <w:tcW w:type="dxa" w:w="3408"/>
            <w:vAlign w:val="center"/>
          </w:tcPr>
          <w:p>
            <w:pPr>
              <w:spacing w:after="0"/>
            </w:pPr>
            <w:r/>
            <w:r>
              <w:rPr>
                <w:b w:val="0"/>
                <w:sz w:val="17"/>
              </w:rPr>
              <w:t>M0</w:t>
            </w:r>
          </w:p>
        </w:tc>
        <w:tc>
          <w:tcPr>
            <w:tcW w:type="dxa" w:w="3408"/>
            <w:vAlign w:val="center"/>
          </w:tcPr>
          <w:p>
            <w:pPr>
              <w:spacing w:after="0"/>
            </w:pPr>
            <w:r/>
            <w:r>
              <w:rPr>
                <w:b w:val="0"/>
                <w:sz w:val="17"/>
              </w:rPr>
              <w:t>Reference environment</w:t>
            </w:r>
          </w:p>
        </w:tc>
        <w:tc>
          <w:tcPr>
            <w:tcW w:type="dxa" w:w="3408"/>
            <w:vAlign w:val="center"/>
          </w:tcPr>
          <w:p>
            <w:pPr>
              <w:spacing w:after="0"/>
            </w:pPr>
            <w:r/>
            <w:r>
              <w:rPr>
                <w:b w:val="0"/>
                <w:sz w:val="17"/>
              </w:rPr>
              <w:t>Reference notebook + dataset can be loaded and a forward pass runs.</w:t>
            </w:r>
          </w:p>
        </w:tc>
      </w:tr>
      <w:tr>
        <w:tc>
          <w:tcPr>
            <w:tcW w:type="dxa" w:w="3408"/>
            <w:vAlign w:val="center"/>
          </w:tcPr>
          <w:p>
            <w:pPr>
              <w:spacing w:after="0"/>
            </w:pPr>
            <w:r/>
            <w:r>
              <w:rPr>
                <w:b w:val="0"/>
                <w:sz w:val="17"/>
              </w:rPr>
              <w:t>M1</w:t>
            </w:r>
          </w:p>
        </w:tc>
        <w:tc>
          <w:tcPr>
            <w:tcW w:type="dxa" w:w="3408"/>
            <w:vAlign w:val="center"/>
          </w:tcPr>
          <w:p>
            <w:pPr>
              <w:spacing w:after="0"/>
            </w:pPr>
            <w:r/>
            <w:r>
              <w:rPr>
                <w:b w:val="0"/>
                <w:sz w:val="17"/>
              </w:rPr>
              <w:t>Modular PIGNN</w:t>
            </w:r>
          </w:p>
        </w:tc>
        <w:tc>
          <w:tcPr>
            <w:tcW w:type="dxa" w:w="3408"/>
            <w:vAlign w:val="center"/>
          </w:tcPr>
          <w:p>
            <w:pPr>
              <w:spacing w:after="0"/>
            </w:pPr>
            <w:r/>
            <w:r>
              <w:rPr>
                <w:b w:val="0"/>
                <w:sz w:val="17"/>
              </w:rPr>
              <w:t>`model.py` and `loss.py` reproduce the notebook logic.</w:t>
            </w:r>
          </w:p>
        </w:tc>
      </w:tr>
      <w:tr>
        <w:tc>
          <w:tcPr>
            <w:tcW w:type="dxa" w:w="3408"/>
            <w:vAlign w:val="center"/>
          </w:tcPr>
          <w:p>
            <w:pPr>
              <w:spacing w:after="0"/>
            </w:pPr>
            <w:r/>
            <w:r>
              <w:rPr>
                <w:b w:val="0"/>
                <w:sz w:val="17"/>
              </w:rPr>
              <w:t>M2</w:t>
            </w:r>
          </w:p>
        </w:tc>
        <w:tc>
          <w:tcPr>
            <w:tcW w:type="dxa" w:w="3408"/>
            <w:vAlign w:val="center"/>
          </w:tcPr>
          <w:p>
            <w:pPr>
              <w:spacing w:after="0"/>
            </w:pPr>
            <w:r/>
            <w:r>
              <w:rPr>
                <w:b w:val="0"/>
                <w:sz w:val="17"/>
              </w:rPr>
              <w:t>Banking preprocessing</w:t>
            </w:r>
          </w:p>
        </w:tc>
        <w:tc>
          <w:tcPr>
            <w:tcW w:type="dxa" w:w="3408"/>
            <w:vAlign w:val="center"/>
          </w:tcPr>
          <w:p>
            <w:pPr>
              <w:spacing w:after="0"/>
            </w:pPr>
            <w:r/>
            <w:r>
              <w:rPr>
                <w:b w:val="0"/>
                <w:sz w:val="17"/>
              </w:rPr>
              <w:t>One CyberSentinel network becomes A/F tensors + masks deterministically.</w:t>
            </w:r>
          </w:p>
        </w:tc>
      </w:tr>
      <w:tr>
        <w:tc>
          <w:tcPr>
            <w:tcW w:type="dxa" w:w="3408"/>
            <w:vAlign w:val="center"/>
          </w:tcPr>
          <w:p>
            <w:pPr>
              <w:spacing w:after="0"/>
            </w:pPr>
            <w:r/>
            <w:r>
              <w:rPr>
                <w:b w:val="0"/>
                <w:sz w:val="17"/>
              </w:rPr>
              <w:t>M3</w:t>
            </w:r>
          </w:p>
        </w:tc>
        <w:tc>
          <w:tcPr>
            <w:tcW w:type="dxa" w:w="3408"/>
            <w:vAlign w:val="center"/>
          </w:tcPr>
          <w:p>
            <w:pPr>
              <w:spacing w:after="0"/>
            </w:pPr>
            <w:r/>
            <w:r>
              <w:rPr>
                <w:b w:val="0"/>
                <w:sz w:val="17"/>
              </w:rPr>
              <w:t>Dataset generator</w:t>
            </w:r>
          </w:p>
        </w:tc>
        <w:tc>
          <w:tcPr>
            <w:tcW w:type="dxa" w:w="3408"/>
            <w:vAlign w:val="center"/>
          </w:tcPr>
          <w:p>
            <w:pPr>
              <w:spacing w:after="0"/>
            </w:pPr>
            <w:r/>
            <w:r>
              <w:rPr>
                <w:b w:val="0"/>
                <w:sz w:val="17"/>
              </w:rPr>
              <w:t>Hundreds/thousands of reproducible graph/path samples can be generated and validated.</w:t>
            </w:r>
          </w:p>
        </w:tc>
      </w:tr>
      <w:tr>
        <w:tc>
          <w:tcPr>
            <w:tcW w:type="dxa" w:w="3408"/>
            <w:vAlign w:val="center"/>
          </w:tcPr>
          <w:p>
            <w:pPr>
              <w:spacing w:after="0"/>
            </w:pPr>
            <w:r/>
            <w:r>
              <w:rPr>
                <w:b w:val="0"/>
                <w:sz w:val="17"/>
              </w:rPr>
              <w:t>M4</w:t>
            </w:r>
          </w:p>
        </w:tc>
        <w:tc>
          <w:tcPr>
            <w:tcW w:type="dxa" w:w="3408"/>
            <w:vAlign w:val="center"/>
          </w:tcPr>
          <w:p>
            <w:pPr>
              <w:spacing w:after="0"/>
            </w:pPr>
            <w:r/>
            <w:r>
              <w:rPr>
                <w:b w:val="0"/>
                <w:sz w:val="17"/>
              </w:rPr>
              <w:t>PIGNN training</w:t>
            </w:r>
          </w:p>
        </w:tc>
        <w:tc>
          <w:tcPr>
            <w:tcW w:type="dxa" w:w="3408"/>
            <w:vAlign w:val="center"/>
          </w:tcPr>
          <w:p>
            <w:pPr>
              <w:spacing w:after="0"/>
            </w:pPr>
            <w:r/>
            <w:r>
              <w:rPr>
                <w:b w:val="0"/>
                <w:sz w:val="17"/>
              </w:rPr>
              <w:t>Checkpoint + logs + validation metrics exist.</w:t>
            </w:r>
          </w:p>
        </w:tc>
      </w:tr>
      <w:tr>
        <w:tc>
          <w:tcPr>
            <w:tcW w:type="dxa" w:w="3408"/>
            <w:vAlign w:val="center"/>
          </w:tcPr>
          <w:p>
            <w:pPr>
              <w:spacing w:after="0"/>
            </w:pPr>
            <w:r/>
            <w:r>
              <w:rPr>
                <w:b w:val="0"/>
                <w:sz w:val="17"/>
              </w:rPr>
              <w:t>M5</w:t>
            </w:r>
          </w:p>
        </w:tc>
        <w:tc>
          <w:tcPr>
            <w:tcW w:type="dxa" w:w="3408"/>
            <w:vAlign w:val="center"/>
          </w:tcPr>
          <w:p>
            <w:pPr>
              <w:spacing w:after="0"/>
            </w:pPr>
            <w:r/>
            <w:r>
              <w:rPr>
                <w:b w:val="0"/>
                <w:sz w:val="17"/>
              </w:rPr>
              <w:t>DWM integration</w:t>
            </w:r>
          </w:p>
        </w:tc>
        <w:tc>
          <w:tcPr>
            <w:tcW w:type="dxa" w:w="3408"/>
            <w:vAlign w:val="center"/>
          </w:tcPr>
          <w:p>
            <w:pPr>
              <w:spacing w:after="0"/>
            </w:pPr>
            <w:r/>
            <w:r>
              <w:rPr>
                <w:b w:val="0"/>
                <w:sz w:val="17"/>
              </w:rPr>
              <w:t>DWM fields appear in PIGNN feature tensor and contextual output remains visible.</w:t>
            </w:r>
          </w:p>
        </w:tc>
      </w:tr>
      <w:tr>
        <w:tc>
          <w:tcPr>
            <w:tcW w:type="dxa" w:w="3408"/>
            <w:vAlign w:val="center"/>
          </w:tcPr>
          <w:p>
            <w:pPr>
              <w:spacing w:after="0"/>
            </w:pPr>
            <w:r/>
            <w:r>
              <w:rPr>
                <w:b w:val="0"/>
                <w:sz w:val="17"/>
              </w:rPr>
              <w:t>M6</w:t>
            </w:r>
          </w:p>
        </w:tc>
        <w:tc>
          <w:tcPr>
            <w:tcW w:type="dxa" w:w="3408"/>
            <w:vAlign w:val="center"/>
          </w:tcPr>
          <w:p>
            <w:pPr>
              <w:spacing w:after="0"/>
            </w:pPr>
            <w:r/>
            <w:r>
              <w:rPr>
                <w:b w:val="0"/>
                <w:sz w:val="17"/>
              </w:rPr>
              <w:t>Path decoder</w:t>
            </w:r>
          </w:p>
        </w:tc>
        <w:tc>
          <w:tcPr>
            <w:tcW w:type="dxa" w:w="3408"/>
            <w:vAlign w:val="center"/>
          </w:tcPr>
          <w:p>
            <w:pPr>
              <w:spacing w:after="0"/>
            </w:pPr>
            <w:r/>
            <w:r>
              <w:rPr>
                <w:b w:val="0"/>
                <w:sz w:val="17"/>
              </w:rPr>
              <w:t>Y_hat becomes a valid entry-to-target path using only real network edges.</w:t>
            </w:r>
          </w:p>
        </w:tc>
      </w:tr>
      <w:tr>
        <w:tc>
          <w:tcPr>
            <w:tcW w:type="dxa" w:w="3408"/>
            <w:vAlign w:val="center"/>
          </w:tcPr>
          <w:p>
            <w:pPr>
              <w:spacing w:after="0"/>
            </w:pPr>
            <w:r/>
            <w:r>
              <w:rPr>
                <w:b w:val="0"/>
                <w:sz w:val="17"/>
              </w:rPr>
              <w:t>M7</w:t>
            </w:r>
          </w:p>
        </w:tc>
        <w:tc>
          <w:tcPr>
            <w:tcW w:type="dxa" w:w="3408"/>
            <w:vAlign w:val="center"/>
          </w:tcPr>
          <w:p>
            <w:pPr>
              <w:spacing w:after="0"/>
            </w:pPr>
            <w:r/>
            <w:r>
              <w:rPr>
                <w:b w:val="0"/>
                <w:sz w:val="17"/>
              </w:rPr>
              <w:t>Backend integration</w:t>
            </w:r>
          </w:p>
        </w:tc>
        <w:tc>
          <w:tcPr>
            <w:tcW w:type="dxa" w:w="3408"/>
            <w:vAlign w:val="center"/>
          </w:tcPr>
          <w:p>
            <w:pPr>
              <w:spacing w:after="0"/>
            </w:pPr>
            <w:r/>
            <w:r>
              <w:rPr>
                <w:b w:val="0"/>
                <w:sz w:val="17"/>
              </w:rPr>
              <w:t>`/simulate` accepts `algorithm="pignn"` and SSE works.</w:t>
            </w:r>
          </w:p>
        </w:tc>
      </w:tr>
      <w:tr>
        <w:tc>
          <w:tcPr>
            <w:tcW w:type="dxa" w:w="3408"/>
            <w:vAlign w:val="center"/>
          </w:tcPr>
          <w:p>
            <w:pPr>
              <w:spacing w:after="0"/>
            </w:pPr>
            <w:r/>
            <w:r>
              <w:rPr>
                <w:b w:val="0"/>
                <w:sz w:val="17"/>
              </w:rPr>
              <w:t>M8</w:t>
            </w:r>
          </w:p>
        </w:tc>
        <w:tc>
          <w:tcPr>
            <w:tcW w:type="dxa" w:w="3408"/>
            <w:vAlign w:val="center"/>
          </w:tcPr>
          <w:p>
            <w:pPr>
              <w:spacing w:after="0"/>
            </w:pPr>
            <w:r/>
            <w:r>
              <w:rPr>
                <w:b w:val="0"/>
                <w:sz w:val="17"/>
              </w:rPr>
              <w:t>Frontend integration</w:t>
            </w:r>
          </w:p>
        </w:tc>
        <w:tc>
          <w:tcPr>
            <w:tcW w:type="dxa" w:w="3408"/>
            <w:vAlign w:val="center"/>
          </w:tcPr>
          <w:p>
            <w:pPr>
              <w:spacing w:after="0"/>
            </w:pPr>
            <w:r/>
            <w:r>
              <w:rPr>
                <w:b w:val="0"/>
                <w:sz w:val="17"/>
              </w:rPr>
              <w:t>PIGNN option, confidence and fallback state are visible.</w:t>
            </w:r>
          </w:p>
        </w:tc>
      </w:tr>
      <w:tr>
        <w:tc>
          <w:tcPr>
            <w:tcW w:type="dxa" w:w="3408"/>
            <w:vAlign w:val="center"/>
          </w:tcPr>
          <w:p>
            <w:pPr>
              <w:spacing w:after="0"/>
            </w:pPr>
            <w:r/>
            <w:r>
              <w:rPr>
                <w:b w:val="0"/>
                <w:sz w:val="17"/>
              </w:rPr>
              <w:t>M9</w:t>
            </w:r>
          </w:p>
        </w:tc>
        <w:tc>
          <w:tcPr>
            <w:tcW w:type="dxa" w:w="3408"/>
            <w:vAlign w:val="center"/>
          </w:tcPr>
          <w:p>
            <w:pPr>
              <w:spacing w:after="0"/>
            </w:pPr>
            <w:r/>
            <w:r>
              <w:rPr>
                <w:b w:val="0"/>
                <w:sz w:val="17"/>
              </w:rPr>
              <w:t>Benchmark</w:t>
            </w:r>
          </w:p>
        </w:tc>
        <w:tc>
          <w:tcPr>
            <w:tcW w:type="dxa" w:w="3408"/>
            <w:vAlign w:val="center"/>
          </w:tcPr>
          <w:p>
            <w:pPr>
              <w:spacing w:after="0"/>
            </w:pPr>
            <w:r/>
            <w:r>
              <w:rPr>
                <w:b w:val="0"/>
                <w:sz w:val="17"/>
              </w:rPr>
              <w:t>Baselines + ablations + topology-family holdout are reported.</w:t>
            </w:r>
          </w:p>
        </w:tc>
      </w:tr>
    </w:tbl>
    <w:p>
      <w:pPr>
        <w:spacing w:after="0"/>
      </w:pPr>
    </w:p>
    <w:p>
      <w:pPr>
        <w:pStyle w:val="Heading1"/>
        <w:keepNext/>
      </w:pPr>
      <w:r>
        <w:t>17. Edge cases and failure handling</w:t>
      </w:r>
    </w:p>
    <w:p>
      <w:pPr>
        <w:pStyle w:val="ListBullet"/>
        <w:spacing w:after="60"/>
      </w:pPr>
      <w:r>
        <w:t>No path exists in topology: return the same structured error as the classical engine.</w:t>
      </w:r>
    </w:p>
    <w:p>
      <w:pPr>
        <w:pStyle w:val="ListBullet"/>
        <w:spacing w:after="60"/>
      </w:pPr>
      <w:r>
        <w:t>PIGNN predicts no usable edge above threshold: lower threshold only within a configured validation range; otherwise fall back to classical pathfinding and report the fallback.</w:t>
      </w:r>
    </w:p>
    <w:p>
      <w:pPr>
        <w:pStyle w:val="ListBullet"/>
        <w:spacing w:after="60"/>
      </w:pPr>
      <w:r>
        <w:t>PIGNN predicts a disconnected subgraph: decoder rejects it and extracts the best valid simple path from the masked probability graph.</w:t>
      </w:r>
    </w:p>
    <w:p>
      <w:pPr>
        <w:pStyle w:val="ListBullet"/>
        <w:spacing w:after="60"/>
      </w:pPr>
      <w:r>
        <w:t>PIGNN predicts cycles: cycle penalty should reduce frequency during training, but inference must still remove cycles deterministically.</w:t>
      </w:r>
    </w:p>
    <w:p>
      <w:pPr>
        <w:pStyle w:val="ListBullet"/>
        <w:spacing w:after="60"/>
      </w:pPr>
      <w:r>
        <w:t>Padding is used for variable graph sizes: all losses and outputs must be masked so padded nodes cannot contribute to training or decoding.</w:t>
      </w:r>
    </w:p>
    <w:p>
      <w:pPr>
        <w:pStyle w:val="ListBullet"/>
        <w:spacing w:after="60"/>
      </w:pPr>
      <w:r>
        <w:t>A CVE has multiple vulnerabilities on one node: feature aggregation should use max/base-risk plus counts rather than silently dropping all but one CVE.</w:t>
      </w:r>
    </w:p>
    <w:p>
      <w:pPr>
        <w:pStyle w:val="ListBullet"/>
        <w:spacing w:after="60"/>
      </w:pPr>
      <w:r>
        <w:t>DWM metadata is missing: use explicit defaults and mark the context as incomplete; never mutate NVD base CVSS.</w:t>
      </w:r>
    </w:p>
    <w:p>
      <w:pPr>
        <w:pStyle w:val="ListBullet"/>
        <w:spacing w:after="60"/>
      </w:pPr>
      <w:r>
        <w:t>Model file missing or PyTorch unavailable: `/simulate` continues to work with classical fallback and reports the actual algorithm used.</w:t>
      </w:r>
    </w:p>
    <w:p>
      <w:pPr>
        <w:pStyle w:val="Heading1"/>
        <w:keepNext/>
      </w:pPr>
      <w:r>
        <w:t>18. Acceptance criteria</w:t>
      </w:r>
    </w:p>
    <w:p>
      <w:pPr>
        <w:pStyle w:val="ListNumber"/>
        <w:spacing w:after="60"/>
      </w:pPr>
      <w:r>
        <w:t>PIGNN is reproducible from the public paper repository before banking adaptation is claimed.</w:t>
      </w:r>
    </w:p>
    <w:p>
      <w:pPr>
        <w:pStyle w:val="ListNumber"/>
        <w:spacing w:after="60"/>
      </w:pPr>
      <w:r>
        <w:t>The CyberSentinel preprocessor produces stable A/F/Y tensors from a versioned schema.</w:t>
      </w:r>
    </w:p>
    <w:p>
      <w:pPr>
        <w:pStyle w:val="ListNumber"/>
        <w:spacing w:after="60"/>
      </w:pPr>
      <w:r>
        <w:t>PIGNN uses real typed network edges and never treats a screenshot/image as a training input.</w:t>
      </w:r>
    </w:p>
    <w:p>
      <w:pPr>
        <w:pStyle w:val="ListNumber"/>
        <w:spacing w:after="60"/>
      </w:pPr>
      <w:r>
        <w:t>The model output is a probability matrix tied back to actual network nodes.</w:t>
      </w:r>
    </w:p>
    <w:p>
      <w:pPr>
        <w:pStyle w:val="ListNumber"/>
        <w:spacing w:after="60"/>
      </w:pPr>
      <w:r>
        <w:t>DWM remains independent, visible and traceable to its source CVE inputs.</w:t>
      </w:r>
    </w:p>
    <w:p>
      <w:pPr>
        <w:pStyle w:val="ListNumber"/>
        <w:spacing w:after="60"/>
      </w:pPr>
      <w:r>
        <w:t>The PIGNN decoder produces only topology-valid attack paths.</w:t>
      </w:r>
    </w:p>
    <w:p>
      <w:pPr>
        <w:pStyle w:val="ListNumber"/>
        <w:spacing w:after="60"/>
      </w:pPr>
      <w:r>
        <w:t>The selected path feeds the existing MITRE, LLM and remediation pipeline without duplicate logic.</w:t>
      </w:r>
    </w:p>
    <w:p>
      <w:pPr>
        <w:pStyle w:val="ListNumber"/>
        <w:spacing w:after="60"/>
      </w:pPr>
      <w:r>
        <w:t>The frontend distinguishes PIGNN inference from classical fallback.</w:t>
      </w:r>
    </w:p>
    <w:p>
      <w:pPr>
        <w:pStyle w:val="ListNumber"/>
        <w:spacing w:after="60"/>
      </w:pPr>
      <w:r>
        <w:t>Training, evaluation and model artifacts are versioned and reproducible.</w:t>
      </w:r>
    </w:p>
    <w:p>
      <w:pPr>
        <w:pStyle w:val="Heading1"/>
        <w:keepNext/>
      </w:pPr>
      <w:r>
        <w:t>19. Final implementation checklist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b/>
                <w:sz w:val="18"/>
              </w:rPr>
              <w:t>Area</w:t>
            </w:r>
          </w:p>
        </w:tc>
        <w:tc>
          <w:tcPr>
            <w:tcW w:type="dxa" w:w="5112"/>
            <w:vAlign w:val="center"/>
            <w:shd w:fill="D9EAF7"/>
          </w:tcPr>
          <w:p>
            <w:pPr>
              <w:spacing w:after="0"/>
            </w:pPr>
            <w:r/>
            <w:r>
              <w:rPr>
                <w:b/>
                <w:sz w:val="18"/>
              </w:rPr>
              <w:t>Checklist</w:t>
            </w:r>
          </w:p>
        </w:tc>
      </w:tr>
      <w:tr>
        <w:tc>
          <w:tcPr>
            <w:tcW w:type="dxa" w:w="5112"/>
            <w:vAlign w:val="center"/>
          </w:tcPr>
          <w:p>
            <w:pPr>
              <w:spacing w:after="0"/>
            </w:pPr>
            <w:r/>
            <w:r>
              <w:rPr>
                <w:b w:val="0"/>
                <w:sz w:val="17"/>
              </w:rPr>
              <w:t>Research fidelity</w:t>
            </w:r>
          </w:p>
        </w:tc>
        <w:tc>
          <w:tcPr>
            <w:tcW w:type="dxa" w:w="5112"/>
            <w:vAlign w:val="center"/>
          </w:tcPr>
          <w:p>
            <w:pPr>
              <w:spacing w:after="0"/>
            </w:pPr>
            <w:r/>
            <w:r>
              <w:rPr>
                <w:b w:val="0"/>
                <w:sz w:val="17"/>
              </w:rPr>
              <w:t>Model, loss, output semantics and core training loop derived from official replication code.</w:t>
            </w:r>
          </w:p>
        </w:tc>
      </w:tr>
      <w:tr>
        <w:tc>
          <w:tcPr>
            <w:tcW w:type="dxa" w:w="5112"/>
            <w:vAlign w:val="center"/>
          </w:tcPr>
          <w:p>
            <w:pPr>
              <w:spacing w:after="0"/>
            </w:pPr>
            <w:r/>
            <w:r>
              <w:rPr>
                <w:b w:val="0"/>
                <w:sz w:val="17"/>
              </w:rPr>
              <w:t>Data</w:t>
            </w:r>
          </w:p>
        </w:tc>
        <w:tc>
          <w:tcPr>
            <w:tcW w:type="dxa" w:w="5112"/>
            <w:vAlign w:val="center"/>
          </w:tcPr>
          <w:p>
            <w:pPr>
              <w:spacing w:after="0"/>
            </w:pPr>
            <w:r/>
            <w:r>
              <w:rPr>
                <w:b w:val="0"/>
                <w:sz w:val="17"/>
              </w:rPr>
              <w:t>Banking graph tensors, 20-feature schema, relation vocabulary, normalization and path labels.</w:t>
            </w:r>
          </w:p>
        </w:tc>
      </w:tr>
      <w:tr>
        <w:tc>
          <w:tcPr>
            <w:tcW w:type="dxa" w:w="5112"/>
            <w:vAlign w:val="center"/>
          </w:tcPr>
          <w:p>
            <w:pPr>
              <w:spacing w:after="0"/>
            </w:pPr>
            <w:r/>
            <w:r>
              <w:rPr>
                <w:b w:val="0"/>
                <w:sz w:val="17"/>
              </w:rPr>
              <w:t>DWM</w:t>
            </w:r>
          </w:p>
        </w:tc>
        <w:tc>
          <w:tcPr>
            <w:tcW w:type="dxa" w:w="5112"/>
            <w:vAlign w:val="center"/>
          </w:tcPr>
          <w:p>
            <w:pPr>
              <w:spacing w:after="0"/>
            </w:pPr>
            <w:r/>
            <w:r>
              <w:rPr>
                <w:b w:val="0"/>
                <w:sz w:val="17"/>
              </w:rPr>
              <w:t>Base CVSS preserved; DWM fields integrated as contextual features / downstream risk.</w:t>
            </w:r>
          </w:p>
        </w:tc>
      </w:tr>
      <w:tr>
        <w:tc>
          <w:tcPr>
            <w:tcW w:type="dxa" w:w="5112"/>
            <w:vAlign w:val="center"/>
          </w:tcPr>
          <w:p>
            <w:pPr>
              <w:spacing w:after="0"/>
            </w:pPr>
            <w:r/>
            <w:r>
              <w:rPr>
                <w:b w:val="0"/>
                <w:sz w:val="17"/>
              </w:rPr>
              <w:t>Backend</w:t>
            </w:r>
          </w:p>
        </w:tc>
        <w:tc>
          <w:tcPr>
            <w:tcW w:type="dxa" w:w="5112"/>
            <w:vAlign w:val="center"/>
          </w:tcPr>
          <w:p>
            <w:pPr>
              <w:spacing w:after="0"/>
            </w:pPr>
            <w:r/>
            <w:r>
              <w:rPr>
                <w:b w:val="0"/>
                <w:sz w:val="17"/>
              </w:rPr>
              <w:t>PIGNN package, inference, decoder, `/simulate` dispatch and model loading.</w:t>
            </w:r>
          </w:p>
        </w:tc>
      </w:tr>
      <w:tr>
        <w:tc>
          <w:tcPr>
            <w:tcW w:type="dxa" w:w="5112"/>
            <w:vAlign w:val="center"/>
          </w:tcPr>
          <w:p>
            <w:pPr>
              <w:spacing w:after="0"/>
            </w:pPr>
            <w:r/>
            <w:r>
              <w:rPr>
                <w:b w:val="0"/>
                <w:sz w:val="17"/>
              </w:rPr>
              <w:t>Frontend</w:t>
            </w:r>
          </w:p>
        </w:tc>
        <w:tc>
          <w:tcPr>
            <w:tcW w:type="dxa" w:w="5112"/>
            <w:vAlign w:val="center"/>
          </w:tcPr>
          <w:p>
            <w:pPr>
              <w:spacing w:after="0"/>
            </w:pPr>
            <w:r/>
            <w:r>
              <w:rPr>
                <w:b w:val="0"/>
                <w:sz w:val="17"/>
              </w:rPr>
              <w:t>Algorithm selector, confidence display, PathList/NetworkGraph integration, fallback status.</w:t>
            </w:r>
          </w:p>
        </w:tc>
      </w:tr>
      <w:tr>
        <w:tc>
          <w:tcPr>
            <w:tcW w:type="dxa" w:w="5112"/>
            <w:vAlign w:val="center"/>
          </w:tcPr>
          <w:p>
            <w:pPr>
              <w:spacing w:after="0"/>
            </w:pPr>
            <w:r/>
            <w:r>
              <w:rPr>
                <w:b w:val="0"/>
                <w:sz w:val="17"/>
              </w:rPr>
              <w:t>Evaluation</w:t>
            </w:r>
          </w:p>
        </w:tc>
        <w:tc>
          <w:tcPr>
            <w:tcW w:type="dxa" w:w="5112"/>
            <w:vAlign w:val="center"/>
          </w:tcPr>
          <w:p>
            <w:pPr>
              <w:spacing w:after="0"/>
            </w:pPr>
            <w:r/>
            <w:r>
              <w:rPr>
                <w:b w:val="0"/>
                <w:sz w:val="17"/>
              </w:rPr>
              <w:t>PIGNN vs no-PINN, PIGNN vs DWM, baseline algorithms, topology holdout.</w:t>
            </w:r>
          </w:p>
        </w:tc>
      </w:tr>
      <w:tr>
        <w:tc>
          <w:tcPr>
            <w:tcW w:type="dxa" w:w="5112"/>
            <w:vAlign w:val="center"/>
          </w:tcPr>
          <w:p>
            <w:pPr>
              <w:spacing w:after="0"/>
            </w:pPr>
            <w:r/>
            <w:r>
              <w:rPr>
                <w:b w:val="0"/>
                <w:sz w:val="17"/>
              </w:rPr>
              <w:t>Operations</w:t>
            </w:r>
          </w:p>
        </w:tc>
        <w:tc>
          <w:tcPr>
            <w:tcW w:type="dxa" w:w="5112"/>
            <w:vAlign w:val="center"/>
          </w:tcPr>
          <w:p>
            <w:pPr>
              <w:spacing w:after="0"/>
            </w:pPr>
            <w:r/>
            <w:r>
              <w:rPr>
                <w:b w:val="0"/>
                <w:sz w:val="17"/>
              </w:rPr>
              <w:t>Checkpoint version, normalization version, feature schema version, seed and dataset manifest.</w:t>
            </w:r>
          </w:p>
        </w:tc>
      </w:tr>
    </w:tbl>
    <w:p>
      <w:pPr>
        <w:spacing w:after="0"/>
      </w:pPr>
    </w:p>
    <w:p>
      <w:pPr>
        <w:pStyle w:val="Heading1"/>
        <w:keepNext/>
      </w:pPr>
      <w:r>
        <w:t>20. References</w:t>
      </w:r>
    </w:p>
    <w:p>
      <w:r>
        <w:rPr>
          <w:b/>
        </w:rPr>
        <w:t xml:space="preserve">Paper: </w:t>
      </w:r>
      <w:r>
        <w:t>https://www.mdpi.com/2624-800X/5/2/15</w:t>
      </w:r>
    </w:p>
    <w:p>
      <w:r>
        <w:rPr>
          <w:b/>
        </w:rPr>
        <w:t xml:space="preserve">DOI: </w:t>
      </w:r>
      <w:r>
        <w:t>https://doi.org/10.3390/jcp5020015</w:t>
      </w:r>
    </w:p>
    <w:p>
      <w:r>
        <w:rPr>
          <w:b/>
        </w:rPr>
        <w:t xml:space="preserve">Official PIGNN replication package: </w:t>
      </w:r>
      <w:r>
        <w:t>https://github.com/mbdlrocks/PhD_Replication_Package/tree/master/Physics-Informed-GNN%20(PIGNN)</w:t>
      </w:r>
    </w:p>
    <w:p>
      <w:r>
        <w:rPr>
          <w:b/>
        </w:rPr>
        <w:t xml:space="preserve">Official preprocessing/data package: </w:t>
      </w:r>
      <w:r>
        <w:t>https://github.com/mbdlrocks/PhD_Replication_Package/tree/master/Physics-Informed-GNN%20(PIGNN)/_Preprocessing_</w:t>
      </w:r>
    </w:p>
    <w:p>
      <w:r>
        <w:rPr>
          <w:b/>
        </w:rPr>
        <w:t xml:space="preserve">CyberSentinel reviewed branch: </w:t>
      </w:r>
      <w:r>
        <w:t>https://github.com/YashWaghmare2206/CyberSentinel/tree/DWM-and-Neural-Remaining</w:t>
      </w:r>
    </w:p>
    <w:p>
      <w:r>
        <w:t>CyberSentinel Phase 2 Plan: internal project document reviewed for the DWM/ML architecture and integration contract. The plan states that DWM should preserve official NVD Base CVSS and add Temporal/Environmental context, and that its earlier ML-weighted stretch goal was explicitly not a deep-learning path planner. (See Sections 4.4-4.5.)</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Implementation plan | Source-reviewed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CyberSentinel | PIGNN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5F7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B6E8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B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317" w:right="173"/>
    </w:pPr>
    <w:rPr>
      <w:rFonts w:ascii="Cascadia Mono" w:hAnsi="Cascadia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