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200" w:hRule="exact"/>
        </w:trPr>
        <w:tc>
          <w:tcPr>
            <w:tcBorders>
              <w:top w:val="none" w:color="FFFFFF" w:sz="0"/>
              <w:left w:val="none" w:color="FFFFFF" w:sz="0"/>
              <w:bottom w:val="none" w:color="FFFFFF" w:sz="0"/>
              <w:right w:val="none" w:color="FFFFFF" w:sz="0"/>
            </w:tcBorders>
            <w:shd w:fill="0A1628" w:val="clear"/>
            <w:vAlign w:val="top"/>
          </w:tcPr>
          <w:p>
            <w:pPr>
              <w:spacing w:before="1800"/>
              <w:jc w:val="center"/>
            </w:pPr>
            <w:r>
              <w:rPr>
                <w:rFonts w:ascii="Times New Roman"/>
                <w:b/>
                <w:bCs/>
                <w:color w:val="FFFFFF"/>
                <w:sz w:val="60"/>
                <w:szCs w:val="60"/>
              </w:rPr>
              <w:t xml:space="preserve">DeliveryBoost</w:t>
            </w:r>
          </w:p>
          <w:p>
            <w:pPr>
              <w:spacing w:before="200"/>
              <w:jc w:val="center"/>
            </w:pPr>
            <w:r>
              <w:rPr>
                <w:rFonts w:ascii="Times New Roman"/>
                <w:color w:val="B0B8C0"/>
                <w:sz w:val="32"/>
                <w:szCs w:val="32"/>
              </w:rPr>
              <w:t xml:space="preserve">Frontend Specification Document</w:t>
            </w:r>
          </w:p>
        </w:tc>
      </w:tr>
      <w:tr>
        <w:trPr>
          <w:trHeight w:val="12638" w:hRule="exact"/>
        </w:trPr>
        <w:tc>
          <w:tcPr>
            <w:tcBorders>
              <w:top w:val="none" w:color="FFFFFF" w:sz="0"/>
              <w:left w:val="none" w:color="FFFFFF" w:sz="0"/>
              <w:bottom w:val="none" w:color="FFFFFF" w:sz="0"/>
              <w:right w:val="none" w:color="FFFFFF" w:sz="0"/>
            </w:tcBorders>
            <w:vAlign w:val="top"/>
          </w:tcPr>
          <w:p>
            <w:pPr>
              <w:spacing w:before="2400"/>
              <w:jc w:val="center"/>
            </w:pPr>
            <w:r>
              <w:rPr>
                <w:color w:val="6878A0"/>
                <w:sz w:val="24"/>
                <w:szCs w:val="24"/>
              </w:rPr>
              <w:t xml:space="preserve">Version 1.0  |  June 7, 2026  |  Yashas K Gangatkar</w:t>
            </w:r>
          </w:p>
        </w:tc>
      </w:tr>
    </w:tbl>
    <w:p>
      <w:pPr>
        <w:sectPr>
          <w:pgSz w:w="11906" w:h="16838" w:orient="portrait"/>
          <w:pgMar w:top="0" w:right="0" w:bottom="0" w:left="0" w:header="708" w:footer="708" w:gutter="0"/>
          <w:pgNumType/>
          <w:docGrid w:linePitch="360"/>
        </w:sectPr>
      </w:pPr>
    </w:p>
    <w:p>
      <w:pPr>
        <w:pStyle w:val="Heading1"/>
        <w:spacing w:after="120" w:before="240"/>
      </w:pPr>
      <w:r>
        <w:rPr>
          <w:rFonts w:ascii="Times New Roman" w:eastAsia="SimHei"/>
          <w:b/>
          <w:bCs/>
          <w:color w:val="0A1628"/>
        </w:rPr>
        <w:t xml:space="preserve">1. Design System</w:t>
      </w:r>
    </w:p>
    <w:p>
      <w:pPr>
        <w:pStyle w:val="Heading2"/>
        <w:spacing w:after="120" w:before="240"/>
      </w:pPr>
      <w:r>
        <w:rPr>
          <w:rFonts w:ascii="Times New Roman" w:eastAsia="SimHei"/>
          <w:b/>
          <w:bCs/>
          <w:color w:val="0A1628"/>
        </w:rPr>
        <w:t xml:space="preserve">1.1 Color Palette</w:t>
      </w:r>
    </w:p>
    <w:p>
      <w:pPr>
        <w:spacing w:after="80" w:line="312"/>
        <w:ind w:firstLine="480"/>
        <w:jc w:val="both"/>
      </w:pPr>
      <w:r>
        <w:rPr>
          <w:rFonts w:ascii="Times New Roman" w:eastAsia="Microsoft YaHei"/>
          <w:color w:val="000000"/>
          <w:sz w:val="24"/>
          <w:szCs w:val="24"/>
        </w:rPr>
        <w:t xml:space="preserve">The DeliveryBoost design system uses a warm amber-to-orange gradient as its primary brand identity, reflecting the energy and urgency of the delivery driver workflow. The palette is designed for high contrast and readability in both light and dark modes, with particular attention to outdoor visibility since drivers frequently use the app in bright sunlight.</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tblGrid>
      <w:tr>
        <w:trPr>
          <w:cantSplit/>
          <w:tblHeader/>
        </w:trPr>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Token</w:t>
            </w:r>
          </w:p>
        </w:tc>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Value</w:t>
            </w:r>
          </w:p>
        </w:tc>
        <w:tc>
          <w:tcPr>
            <w:tcW w:type="pct" w:w="5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Usage</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Primary Gradient</w:t>
            </w:r>
          </w:p>
        </w:tc>
        <w:tc>
          <w:tcPr>
            <w:tcW w:type="pct" w:w="25%"/>
            <w:tcMar>
              <w:top w:type="dxa" w:w="60"/>
              <w:left w:type="dxa" w:w="120"/>
              <w:bottom w:type="dxa" w:w="60"/>
              <w:right w:type="dxa" w:w="120"/>
            </w:tcMar>
          </w:tcPr>
          <w:p>
            <w:r>
              <w:rPr>
                <w:rFonts w:ascii="Times New Roman" w:eastAsia="Microsoft YaHei"/>
                <w:color w:val="000000"/>
                <w:sz w:val="21"/>
                <w:szCs w:val="21"/>
              </w:rPr>
              <w:t xml:space="preserve">amber-500 to orange-600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CTA buttons, brand highlights, premium badges</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Background Dark</w:t>
            </w:r>
          </w:p>
        </w:tc>
        <w:tc>
          <w:tcPr>
            <w:tcW w:type="pct" w:w="25%"/>
            <w:tcMar>
              <w:top w:type="dxa" w:w="60"/>
              <w:left w:type="dxa" w:w="120"/>
              <w:bottom w:type="dxa" w:w="60"/>
              <w:right w:type="dxa" w:w="120"/>
            </w:tcMar>
          </w:tcPr>
          <w:p>
            <w:r>
              <w:rPr>
                <w:rFonts w:ascii="Times New Roman" w:eastAsia="Microsoft YaHei"/>
                <w:color w:val="000000"/>
                <w:sz w:val="21"/>
                <w:szCs w:val="21"/>
              </w:rPr>
              <w:t xml:space="preserve">oklch(0.16 0.02 260)</w:t>
            </w:r>
          </w:p>
        </w:tc>
        <w:tc>
          <w:tcPr>
            <w:tcW w:type="pct" w:w="50%"/>
            <w:tcMar>
              <w:top w:type="dxa" w:w="60"/>
              <w:left w:type="dxa" w:w="120"/>
              <w:bottom w:type="dxa" w:w="60"/>
              <w:right w:type="dxa" w:w="120"/>
            </w:tcMar>
          </w:tcPr>
          <w:p>
            <w:r>
              <w:rPr>
                <w:rFonts w:ascii="Times New Roman" w:eastAsia="Microsoft YaHei"/>
                <w:color w:val="000000"/>
                <w:sz w:val="21"/>
                <w:szCs w:val="21"/>
              </w:rPr>
              <w:t xml:space="preserve">App background in dark mode (default)</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Background Light</w:t>
            </w:r>
          </w:p>
        </w:tc>
        <w:tc>
          <w:tcPr>
            <w:tcW w:type="pct" w:w="25%"/>
            <w:tcMar>
              <w:top w:type="dxa" w:w="60"/>
              <w:left w:type="dxa" w:w="120"/>
              <w:bottom w:type="dxa" w:w="60"/>
              <w:right w:type="dxa" w:w="120"/>
            </w:tcMar>
          </w:tcPr>
          <w:p>
            <w:r>
              <w:rPr>
                <w:rFonts w:ascii="Times New Roman" w:eastAsia="Microsoft YaHei"/>
                <w:color w:val="000000"/>
                <w:sz w:val="21"/>
                <w:szCs w:val="21"/>
              </w:rPr>
              <w:t xml:space="preserve">oklch(0.985 0.002 80)</w:t>
            </w:r>
          </w:p>
        </w:tc>
        <w:tc>
          <w:tcPr>
            <w:tcW w:type="pct" w:w="50%"/>
            <w:tcMar>
              <w:top w:type="dxa" w:w="60"/>
              <w:left w:type="dxa" w:w="120"/>
              <w:bottom w:type="dxa" w:w="60"/>
              <w:right w:type="dxa" w:w="120"/>
            </w:tcMar>
          </w:tcPr>
          <w:p>
            <w:r>
              <w:rPr>
                <w:rFonts w:ascii="Times New Roman" w:eastAsia="Microsoft YaHei"/>
                <w:color w:val="000000"/>
                <w:sz w:val="21"/>
                <w:szCs w:val="21"/>
              </w:rPr>
              <w:t xml:space="preserve">App background in light mode</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Card Dark</w:t>
            </w:r>
          </w:p>
        </w:tc>
        <w:tc>
          <w:tcPr>
            <w:tcW w:type="pct" w:w="25%"/>
            <w:tcMar>
              <w:top w:type="dxa" w:w="60"/>
              <w:left w:type="dxa" w:w="120"/>
              <w:bottom w:type="dxa" w:w="60"/>
              <w:right w:type="dxa" w:w="120"/>
            </w:tcMar>
          </w:tcPr>
          <w:p>
            <w:r>
              <w:rPr>
                <w:rFonts w:ascii="Times New Roman" w:eastAsia="Microsoft YaHei"/>
                <w:color w:val="000000"/>
                <w:sz w:val="21"/>
                <w:szCs w:val="21"/>
              </w:rPr>
              <w:t xml:space="preserve">oklch(0.21 0.02 260)</w:t>
            </w:r>
          </w:p>
        </w:tc>
        <w:tc>
          <w:tcPr>
            <w:tcW w:type="pct" w:w="50%"/>
            <w:tcMar>
              <w:top w:type="dxa" w:w="60"/>
              <w:left w:type="dxa" w:w="120"/>
              <w:bottom w:type="dxa" w:w="60"/>
              <w:right w:type="dxa" w:w="120"/>
            </w:tcMar>
          </w:tcPr>
          <w:p>
            <w:r>
              <w:rPr>
                <w:rFonts w:ascii="Times New Roman" w:eastAsia="Microsoft YaHei"/>
                <w:color w:val="000000"/>
                <w:sz w:val="21"/>
                <w:szCs w:val="21"/>
              </w:rPr>
              <w:t xml:space="preserve">Elevated surfaces, bottom sheets, cards</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Success</w:t>
            </w:r>
          </w:p>
        </w:tc>
        <w:tc>
          <w:tcPr>
            <w:tcW w:type="pct" w:w="25%"/>
            <w:tcMar>
              <w:top w:type="dxa" w:w="60"/>
              <w:left w:type="dxa" w:w="120"/>
              <w:bottom w:type="dxa" w:w="60"/>
              <w:right w:type="dxa" w:w="120"/>
            </w:tcMar>
          </w:tcPr>
          <w:p>
            <w:r>
              <w:rPr>
                <w:rFonts w:ascii="Times New Roman" w:eastAsia="Microsoft YaHei"/>
                <w:color w:val="000000"/>
                <w:sz w:val="21"/>
                <w:szCs w:val="21"/>
              </w:rPr>
              <w:t xml:space="preserve">emerald-500 (#10B981)</w:t>
            </w:r>
          </w:p>
        </w:tc>
        <w:tc>
          <w:tcPr>
            <w:tcW w:type="pct" w:w="50%"/>
            <w:tcMar>
              <w:top w:type="dxa" w:w="60"/>
              <w:left w:type="dxa" w:w="120"/>
              <w:bottom w:type="dxa" w:w="60"/>
              <w:right w:type="dxa" w:w="120"/>
            </w:tcMar>
          </w:tcPr>
          <w:p>
            <w:r>
              <w:rPr>
                <w:rFonts w:ascii="Times New Roman" w:eastAsia="Microsoft YaHei"/>
                <w:color w:val="000000"/>
                <w:sz w:val="21"/>
                <w:szCs w:val="21"/>
              </w:rPr>
              <w:t xml:space="preserve">Accept button, connected status, positive metrics</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Danger</w:t>
            </w:r>
          </w:p>
        </w:tc>
        <w:tc>
          <w:tcPr>
            <w:tcW w:type="pct" w:w="25%"/>
            <w:tcMar>
              <w:top w:type="dxa" w:w="60"/>
              <w:left w:type="dxa" w:w="120"/>
              <w:bottom w:type="dxa" w:w="60"/>
              <w:right w:type="dxa" w:w="120"/>
            </w:tcMar>
          </w:tcPr>
          <w:p>
            <w:r>
              <w:rPr>
                <w:rFonts w:ascii="Times New Roman" w:eastAsia="Microsoft YaHei"/>
                <w:color w:val="000000"/>
                <w:sz w:val="21"/>
                <w:szCs w:val="21"/>
              </w:rPr>
              <w:t xml:space="preserve">red-500 (#EF4444)</w:t>
            </w:r>
          </w:p>
        </w:tc>
        <w:tc>
          <w:tcPr>
            <w:tcW w:type="pct" w:w="50%"/>
            <w:tcMar>
              <w:top w:type="dxa" w:w="60"/>
              <w:left w:type="dxa" w:w="120"/>
              <w:bottom w:type="dxa" w:w="60"/>
              <w:right w:type="dxa" w:w="120"/>
            </w:tcMar>
          </w:tcPr>
          <w:p>
            <w:r>
              <w:rPr>
                <w:rFonts w:ascii="Times New Roman" w:eastAsia="Microsoft YaHei"/>
                <w:color w:val="000000"/>
                <w:sz w:val="21"/>
                <w:szCs w:val="21"/>
              </w:rPr>
              <w:t xml:space="preserve">Decline button, urgent timer, disconnected status</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Uber Eats</w:t>
            </w:r>
          </w:p>
        </w:tc>
        <w:tc>
          <w:tcPr>
            <w:tcW w:type="pct" w:w="25%"/>
            <w:tcMar>
              <w:top w:type="dxa" w:w="60"/>
              <w:left w:type="dxa" w:w="120"/>
              <w:bottom w:type="dxa" w:w="60"/>
              <w:right w:type="dxa" w:w="120"/>
            </w:tcMar>
          </w:tcPr>
          <w:p>
            <w:r>
              <w:rPr>
                <w:rFonts w:ascii="Times New Roman" w:eastAsia="Microsoft YaHei"/>
                <w:color w:val="000000"/>
                <w:sz w:val="21"/>
                <w:szCs w:val="21"/>
              </w:rPr>
              <w:t xml:space="preserve">emerald-400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Platform-specific branding color</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DoorDash</w:t>
            </w:r>
          </w:p>
        </w:tc>
        <w:tc>
          <w:tcPr>
            <w:tcW w:type="pct" w:w="25%"/>
            <w:tcMar>
              <w:top w:type="dxa" w:w="60"/>
              <w:left w:type="dxa" w:w="120"/>
              <w:bottom w:type="dxa" w:w="60"/>
              <w:right w:type="dxa" w:w="120"/>
            </w:tcMar>
          </w:tcPr>
          <w:p>
            <w:r>
              <w:rPr>
                <w:rFonts w:ascii="Times New Roman" w:eastAsia="Microsoft YaHei"/>
                <w:color w:val="000000"/>
                <w:sz w:val="21"/>
                <w:szCs w:val="21"/>
              </w:rPr>
              <w:t xml:space="preserve">red-400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Platform-specific branding color</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Instacart</w:t>
            </w:r>
          </w:p>
        </w:tc>
        <w:tc>
          <w:tcPr>
            <w:tcW w:type="pct" w:w="25%"/>
            <w:tcMar>
              <w:top w:type="dxa" w:w="60"/>
              <w:left w:type="dxa" w:w="120"/>
              <w:bottom w:type="dxa" w:w="60"/>
              <w:right w:type="dxa" w:w="120"/>
            </w:tcMar>
          </w:tcPr>
          <w:p>
            <w:r>
              <w:rPr>
                <w:rFonts w:ascii="Times New Roman" w:eastAsia="Microsoft YaHei"/>
                <w:color w:val="000000"/>
                <w:sz w:val="21"/>
                <w:szCs w:val="21"/>
              </w:rPr>
              <w:t xml:space="preserve">orange-400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Platform-specific branding color</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Grubhub</w:t>
            </w:r>
          </w:p>
        </w:tc>
        <w:tc>
          <w:tcPr>
            <w:tcW w:type="pct" w:w="25%"/>
            <w:tcMar>
              <w:top w:type="dxa" w:w="60"/>
              <w:left w:type="dxa" w:w="120"/>
              <w:bottom w:type="dxa" w:w="60"/>
              <w:right w:type="dxa" w:w="120"/>
            </w:tcMar>
          </w:tcPr>
          <w:p>
            <w:r>
              <w:rPr>
                <w:rFonts w:ascii="Times New Roman" w:eastAsia="Microsoft YaHei"/>
                <w:color w:val="000000"/>
                <w:sz w:val="21"/>
                <w:szCs w:val="21"/>
              </w:rPr>
              <w:t xml:space="preserve">yellow-400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Platform-specific branding color</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Amazon Flex</w:t>
            </w:r>
          </w:p>
        </w:tc>
        <w:tc>
          <w:tcPr>
            <w:tcW w:type="pct" w:w="25%"/>
            <w:tcMar>
              <w:top w:type="dxa" w:w="60"/>
              <w:left w:type="dxa" w:w="120"/>
              <w:bottom w:type="dxa" w:w="60"/>
              <w:right w:type="dxa" w:w="120"/>
            </w:tcMar>
          </w:tcPr>
          <w:p>
            <w:r>
              <w:rPr>
                <w:rFonts w:ascii="Times New Roman" w:eastAsia="Microsoft YaHei"/>
                <w:color w:val="000000"/>
                <w:sz w:val="21"/>
                <w:szCs w:val="21"/>
              </w:rPr>
              <w:t xml:space="preserve">teal-400</w:t>
            </w:r>
          </w:p>
        </w:tc>
        <w:tc>
          <w:tcPr>
            <w:tcW w:type="pct" w:w="50%"/>
            <w:tcMar>
              <w:top w:type="dxa" w:w="60"/>
              <w:left w:type="dxa" w:w="120"/>
              <w:bottom w:type="dxa" w:w="60"/>
              <w:right w:type="dxa" w:w="120"/>
            </w:tcMar>
          </w:tcPr>
          <w:p>
            <w:r>
              <w:rPr>
                <w:rFonts w:ascii="Times New Roman" w:eastAsia="Microsoft YaHei"/>
                <w:color w:val="000000"/>
                <w:sz w:val="21"/>
                <w:szCs w:val="21"/>
              </w:rPr>
              <w:t xml:space="preserve">Platform-specific branding color</w:t>
            </w:r>
          </w:p>
        </w:tc>
      </w:tr>
    </w:tbl>
    <w:p>
      <w:pPr>
        <w:spacing w:after="80" w:line="312"/>
        <w:ind w:firstLine="480"/>
        <w:jc w:val="both"/>
      </w:pPr>
      <w:r>
        <w:rPr>
          <w:rFonts w:ascii="Times New Roman" w:eastAsia="Microsoft YaHei"/>
          <w:color w:val="000000"/>
          <w:sz w:val="24"/>
          <w:szCs w:val="24"/>
        </w:rPr>
        <w:t xml:space="preserve"/>
      </w:r>
    </w:p>
    <w:p>
      <w:pPr>
        <w:pStyle w:val="Heading2"/>
        <w:spacing w:after="120" w:before="240"/>
      </w:pPr>
      <w:r>
        <w:rPr>
          <w:rFonts w:ascii="Times New Roman" w:eastAsia="SimHei"/>
          <w:b/>
          <w:bCs/>
          <w:color w:val="0A1628"/>
        </w:rPr>
        <w:t xml:space="preserve">1.2 Typography</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gridCol w:w="100"/>
        <w:gridCol w:w="100"/>
      </w:tblGrid>
      <w:tr>
        <w:trPr>
          <w:cantSplit/>
          <w:tblHeader/>
        </w:trPr>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Element</w:t>
            </w:r>
          </w:p>
        </w:tc>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Font</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Size</w:t>
            </w:r>
          </w:p>
        </w:tc>
        <w:tc>
          <w:tcPr>
            <w:tcW w:type="pct" w:w="1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Weight</w:t>
            </w:r>
          </w:p>
        </w:tc>
        <w:tc>
          <w:tcPr>
            <w:tcW w:type="pct" w:w="1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Line Height</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Hero Heading</w:t>
            </w:r>
          </w:p>
        </w:tc>
        <w:tc>
          <w:tcPr>
            <w:tcW w:type="pct" w:w="25%"/>
            <w:tcMar>
              <w:top w:type="dxa" w:w="60"/>
              <w:left w:type="dxa" w:w="120"/>
              <w:bottom w:type="dxa" w:w="60"/>
              <w:right w:type="dxa" w:w="120"/>
            </w:tcMar>
          </w:tcPr>
          <w:p>
            <w:r>
              <w:rPr>
                <w:rFonts w:ascii="Times New Roman" w:eastAsia="Microsoft YaHei"/>
                <w:color w:val="000000"/>
                <w:sz w:val="21"/>
                <w:szCs w:val="21"/>
              </w:rPr>
              <w:t xml:space="preserve">Inter / System Bold</w:t>
            </w:r>
          </w:p>
        </w:tc>
        <w:tc>
          <w:tcPr>
            <w:tcW w:type="pct" w:w="20%"/>
            <w:tcMar>
              <w:top w:type="dxa" w:w="60"/>
              <w:left w:type="dxa" w:w="120"/>
              <w:bottom w:type="dxa" w:w="60"/>
              <w:right w:type="dxa" w:w="120"/>
            </w:tcMar>
          </w:tcPr>
          <w:p>
            <w:r>
              <w:rPr>
                <w:rFonts w:ascii="Times New Roman" w:eastAsia="Microsoft YaHei"/>
                <w:color w:val="000000"/>
                <w:sz w:val="21"/>
                <w:szCs w:val="21"/>
              </w:rPr>
              <w:t xml:space="preserve">48-72px</w:t>
            </w:r>
          </w:p>
        </w:tc>
        <w:tc>
          <w:tcPr>
            <w:tcW w:type="pct" w:w="15%"/>
            <w:tcMar>
              <w:top w:type="dxa" w:w="60"/>
              <w:left w:type="dxa" w:w="120"/>
              <w:bottom w:type="dxa" w:w="60"/>
              <w:right w:type="dxa" w:w="120"/>
            </w:tcMar>
          </w:tcPr>
          <w:p>
            <w:r>
              <w:rPr>
                <w:rFonts w:ascii="Times New Roman" w:eastAsia="Microsoft YaHei"/>
                <w:color w:val="000000"/>
                <w:sz w:val="21"/>
                <w:szCs w:val="21"/>
              </w:rPr>
              <w:t xml:space="preserve">800</w:t>
            </w:r>
          </w:p>
        </w:tc>
        <w:tc>
          <w:tcPr>
            <w:tcW w:type="pct" w:w="15%"/>
            <w:tcMar>
              <w:top w:type="dxa" w:w="60"/>
              <w:left w:type="dxa" w:w="120"/>
              <w:bottom w:type="dxa" w:w="60"/>
              <w:right w:type="dxa" w:w="120"/>
            </w:tcMar>
          </w:tcPr>
          <w:p>
            <w:r>
              <w:rPr>
                <w:rFonts w:ascii="Times New Roman" w:eastAsia="Microsoft YaHei"/>
                <w:color w:val="000000"/>
                <w:sz w:val="21"/>
                <w:szCs w:val="21"/>
              </w:rPr>
              <w:t xml:space="preserve">1.1</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Section Title</w:t>
            </w:r>
          </w:p>
        </w:tc>
        <w:tc>
          <w:tcPr>
            <w:tcW w:type="pct" w:w="25%"/>
            <w:tcMar>
              <w:top w:type="dxa" w:w="60"/>
              <w:left w:type="dxa" w:w="120"/>
              <w:bottom w:type="dxa" w:w="60"/>
              <w:right w:type="dxa" w:w="120"/>
            </w:tcMar>
          </w:tcPr>
          <w:p>
            <w:r>
              <w:rPr>
                <w:rFonts w:ascii="Times New Roman" w:eastAsia="Microsoft YaHei"/>
                <w:color w:val="000000"/>
                <w:sz w:val="21"/>
                <w:szCs w:val="21"/>
              </w:rPr>
              <w:t xml:space="preserve">Inter / System Bold</w:t>
            </w:r>
          </w:p>
        </w:tc>
        <w:tc>
          <w:tcPr>
            <w:tcW w:type="pct" w:w="20%"/>
            <w:tcMar>
              <w:top w:type="dxa" w:w="60"/>
              <w:left w:type="dxa" w:w="120"/>
              <w:bottom w:type="dxa" w:w="60"/>
              <w:right w:type="dxa" w:w="120"/>
            </w:tcMar>
          </w:tcPr>
          <w:p>
            <w:r>
              <w:rPr>
                <w:rFonts w:ascii="Times New Roman" w:eastAsia="Microsoft YaHei"/>
                <w:color w:val="000000"/>
                <w:sz w:val="21"/>
                <w:szCs w:val="21"/>
              </w:rPr>
              <w:t xml:space="preserve">30-36px</w:t>
            </w:r>
          </w:p>
        </w:tc>
        <w:tc>
          <w:tcPr>
            <w:tcW w:type="pct" w:w="15%"/>
            <w:tcMar>
              <w:top w:type="dxa" w:w="60"/>
              <w:left w:type="dxa" w:w="120"/>
              <w:bottom w:type="dxa" w:w="60"/>
              <w:right w:type="dxa" w:w="120"/>
            </w:tcMar>
          </w:tcPr>
          <w:p>
            <w:r>
              <w:rPr>
                <w:rFonts w:ascii="Times New Roman" w:eastAsia="Microsoft YaHei"/>
                <w:color w:val="000000"/>
                <w:sz w:val="21"/>
                <w:szCs w:val="21"/>
              </w:rPr>
              <w:t xml:space="preserve">700</w:t>
            </w:r>
          </w:p>
        </w:tc>
        <w:tc>
          <w:tcPr>
            <w:tcW w:type="pct" w:w="15%"/>
            <w:tcMar>
              <w:top w:type="dxa" w:w="60"/>
              <w:left w:type="dxa" w:w="120"/>
              <w:bottom w:type="dxa" w:w="60"/>
              <w:right w:type="dxa" w:w="120"/>
            </w:tcMar>
          </w:tcPr>
          <w:p>
            <w:r>
              <w:rPr>
                <w:rFonts w:ascii="Times New Roman" w:eastAsia="Microsoft YaHei"/>
                <w:color w:val="000000"/>
                <w:sz w:val="21"/>
                <w:szCs w:val="21"/>
              </w:rPr>
              <w:t xml:space="preserve">1.2</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Card Title</w:t>
            </w:r>
          </w:p>
        </w:tc>
        <w:tc>
          <w:tcPr>
            <w:tcW w:type="pct" w:w="25%"/>
            <w:tcMar>
              <w:top w:type="dxa" w:w="60"/>
              <w:left w:type="dxa" w:w="120"/>
              <w:bottom w:type="dxa" w:w="60"/>
              <w:right w:type="dxa" w:w="120"/>
            </w:tcMar>
          </w:tcPr>
          <w:p>
            <w:r>
              <w:rPr>
                <w:rFonts w:ascii="Times New Roman" w:eastAsia="Microsoft YaHei"/>
                <w:color w:val="000000"/>
                <w:sz w:val="21"/>
                <w:szCs w:val="21"/>
              </w:rPr>
              <w:t xml:space="preserve">Inter / System Semi</w:t>
            </w:r>
          </w:p>
        </w:tc>
        <w:tc>
          <w:tcPr>
            <w:tcW w:type="pct" w:w="20%"/>
            <w:tcMar>
              <w:top w:type="dxa" w:w="60"/>
              <w:left w:type="dxa" w:w="120"/>
              <w:bottom w:type="dxa" w:w="60"/>
              <w:right w:type="dxa" w:w="120"/>
            </w:tcMar>
          </w:tcPr>
          <w:p>
            <w:r>
              <w:rPr>
                <w:rFonts w:ascii="Times New Roman" w:eastAsia="Microsoft YaHei"/>
                <w:color w:val="000000"/>
                <w:sz w:val="21"/>
                <w:szCs w:val="21"/>
              </w:rPr>
              <w:t xml:space="preserve">18-20px</w:t>
            </w:r>
          </w:p>
        </w:tc>
        <w:tc>
          <w:tcPr>
            <w:tcW w:type="pct" w:w="15%"/>
            <w:tcMar>
              <w:top w:type="dxa" w:w="60"/>
              <w:left w:type="dxa" w:w="120"/>
              <w:bottom w:type="dxa" w:w="60"/>
              <w:right w:type="dxa" w:w="120"/>
            </w:tcMar>
          </w:tcPr>
          <w:p>
            <w:r>
              <w:rPr>
                <w:rFonts w:ascii="Times New Roman" w:eastAsia="Microsoft YaHei"/>
                <w:color w:val="000000"/>
                <w:sz w:val="21"/>
                <w:szCs w:val="21"/>
              </w:rPr>
              <w:t xml:space="preserve">600</w:t>
            </w:r>
          </w:p>
        </w:tc>
        <w:tc>
          <w:tcPr>
            <w:tcW w:type="pct" w:w="15%"/>
            <w:tcMar>
              <w:top w:type="dxa" w:w="60"/>
              <w:left w:type="dxa" w:w="120"/>
              <w:bottom w:type="dxa" w:w="60"/>
              <w:right w:type="dxa" w:w="120"/>
            </w:tcMar>
          </w:tcPr>
          <w:p>
            <w:r>
              <w:rPr>
                <w:rFonts w:ascii="Times New Roman" w:eastAsia="Microsoft YaHei"/>
                <w:color w:val="000000"/>
                <w:sz w:val="21"/>
                <w:szCs w:val="21"/>
              </w:rPr>
              <w:t xml:space="preserve">1.3</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Body Text</w:t>
            </w:r>
          </w:p>
        </w:tc>
        <w:tc>
          <w:tcPr>
            <w:tcW w:type="pct" w:w="25%"/>
            <w:tcMar>
              <w:top w:type="dxa" w:w="60"/>
              <w:left w:type="dxa" w:w="120"/>
              <w:bottom w:type="dxa" w:w="60"/>
              <w:right w:type="dxa" w:w="120"/>
            </w:tcMar>
          </w:tcPr>
          <w:p>
            <w:r>
              <w:rPr>
                <w:rFonts w:ascii="Times New Roman" w:eastAsia="Microsoft YaHei"/>
                <w:color w:val="000000"/>
                <w:sz w:val="21"/>
                <w:szCs w:val="21"/>
              </w:rPr>
              <w:t xml:space="preserve">Inter / System Regular</w:t>
            </w:r>
          </w:p>
        </w:tc>
        <w:tc>
          <w:tcPr>
            <w:tcW w:type="pct" w:w="20%"/>
            <w:tcMar>
              <w:top w:type="dxa" w:w="60"/>
              <w:left w:type="dxa" w:w="120"/>
              <w:bottom w:type="dxa" w:w="60"/>
              <w:right w:type="dxa" w:w="120"/>
            </w:tcMar>
          </w:tcPr>
          <w:p>
            <w:r>
              <w:rPr>
                <w:rFonts w:ascii="Times New Roman" w:eastAsia="Microsoft YaHei"/>
                <w:color w:val="000000"/>
                <w:sz w:val="21"/>
                <w:szCs w:val="21"/>
              </w:rPr>
              <w:t xml:space="preserve">14-16px</w:t>
            </w:r>
          </w:p>
        </w:tc>
        <w:tc>
          <w:tcPr>
            <w:tcW w:type="pct" w:w="15%"/>
            <w:tcMar>
              <w:top w:type="dxa" w:w="60"/>
              <w:left w:type="dxa" w:w="120"/>
              <w:bottom w:type="dxa" w:w="60"/>
              <w:right w:type="dxa" w:w="120"/>
            </w:tcMar>
          </w:tcPr>
          <w:p>
            <w:r>
              <w:rPr>
                <w:rFonts w:ascii="Times New Roman" w:eastAsia="Microsoft YaHei"/>
                <w:color w:val="000000"/>
                <w:sz w:val="21"/>
                <w:szCs w:val="21"/>
              </w:rPr>
              <w:t xml:space="preserve">400</w:t>
            </w:r>
          </w:p>
        </w:tc>
        <w:tc>
          <w:tcPr>
            <w:tcW w:type="pct" w:w="15%"/>
            <w:tcMar>
              <w:top w:type="dxa" w:w="60"/>
              <w:left w:type="dxa" w:w="120"/>
              <w:bottom w:type="dxa" w:w="60"/>
              <w:right w:type="dxa" w:w="120"/>
            </w:tcMar>
          </w:tcPr>
          <w:p>
            <w:r>
              <w:rPr>
                <w:rFonts w:ascii="Times New Roman" w:eastAsia="Microsoft YaHei"/>
                <w:color w:val="000000"/>
                <w:sz w:val="21"/>
                <w:szCs w:val="21"/>
              </w:rPr>
              <w:t xml:space="preserve">1.5</w:t>
            </w:r>
          </w:p>
        </w:tc>
      </w:tr>
      <w:tr>
        <w:trPr>
          <w:cantSplit/>
        </w:trPr>
        <w:tc>
          <w:tcPr>
            <w:tcW w:type="pct" w:w="25%"/>
            <w:tcMar>
              <w:top w:type="dxa" w:w="60"/>
              <w:left w:type="dxa" w:w="120"/>
              <w:bottom w:type="dxa" w:w="60"/>
              <w:right w:type="dxa" w:w="120"/>
            </w:tcMar>
          </w:tcPr>
          <w:p>
            <w:r>
              <w:rPr>
                <w:rFonts w:ascii="Times New Roman" w:eastAsia="Microsoft YaHei"/>
                <w:color w:val="000000"/>
                <w:sz w:val="21"/>
                <w:szCs w:val="21"/>
              </w:rPr>
              <w:t xml:space="preserve">Order Value</w:t>
            </w:r>
          </w:p>
        </w:tc>
        <w:tc>
          <w:tcPr>
            <w:tcW w:type="pct" w:w="25%"/>
            <w:tcMar>
              <w:top w:type="dxa" w:w="60"/>
              <w:left w:type="dxa" w:w="120"/>
              <w:bottom w:type="dxa" w:w="60"/>
              <w:right w:type="dxa" w:w="120"/>
            </w:tcMar>
          </w:tcPr>
          <w:p>
            <w:r>
              <w:rPr>
                <w:rFonts w:ascii="Times New Roman" w:eastAsia="Microsoft YaHei"/>
                <w:color w:val="000000"/>
                <w:sz w:val="21"/>
                <w:szCs w:val="21"/>
              </w:rPr>
              <w:t xml:space="preserve">Inter / System Bold</w:t>
            </w:r>
          </w:p>
        </w:tc>
        <w:tc>
          <w:tcPr>
            <w:tcW w:type="pct" w:w="20%"/>
            <w:tcMar>
              <w:top w:type="dxa" w:w="60"/>
              <w:left w:type="dxa" w:w="120"/>
              <w:bottom w:type="dxa" w:w="60"/>
              <w:right w:type="dxa" w:w="120"/>
            </w:tcMar>
          </w:tcPr>
          <w:p>
            <w:r>
              <w:rPr>
                <w:rFonts w:ascii="Times New Roman" w:eastAsia="Microsoft YaHei"/>
                <w:color w:val="000000"/>
                <w:sz w:val="21"/>
                <w:szCs w:val="21"/>
              </w:rPr>
              <w:t xml:space="preserve">24-28px</w:t>
            </w:r>
          </w:p>
        </w:tc>
        <w:tc>
          <w:tcPr>
            <w:tcW w:type="pct" w:w="15%"/>
            <w:tcMar>
              <w:top w:type="dxa" w:w="60"/>
              <w:left w:type="dxa" w:w="120"/>
              <w:bottom w:type="dxa" w:w="60"/>
              <w:right w:type="dxa" w:w="120"/>
            </w:tcMar>
          </w:tcPr>
          <w:p>
            <w:r>
              <w:rPr>
                <w:rFonts w:ascii="Times New Roman" w:eastAsia="Microsoft YaHei"/>
                <w:color w:val="000000"/>
                <w:sz w:val="21"/>
                <w:szCs w:val="21"/>
              </w:rPr>
              <w:t xml:space="preserve">700</w:t>
            </w:r>
          </w:p>
        </w:tc>
        <w:tc>
          <w:tcPr>
            <w:tcW w:type="pct" w:w="15%"/>
            <w:tcMar>
              <w:top w:type="dxa" w:w="60"/>
              <w:left w:type="dxa" w:w="120"/>
              <w:bottom w:type="dxa" w:w="60"/>
              <w:right w:type="dxa" w:w="120"/>
            </w:tcMar>
          </w:tcPr>
          <w:p>
            <w:r>
              <w:rPr>
                <w:rFonts w:ascii="Times New Roman" w:eastAsia="Microsoft YaHei"/>
                <w:color w:val="000000"/>
                <w:sz w:val="21"/>
                <w:szCs w:val="21"/>
              </w:rPr>
              <w:t xml:space="preserve">1.2</w:t>
            </w:r>
          </w:p>
        </w:tc>
      </w:tr>
    </w:tbl>
    <w:p>
      <w:pPr>
        <w:spacing w:after="80" w:line="312"/>
        <w:ind w:firstLine="480"/>
        <w:jc w:val="both"/>
      </w:pPr>
      <w:r>
        <w:rPr>
          <w:rFonts w:ascii="Times New Roman" w:eastAsia="Microsoft YaHei"/>
          <w:color w:val="000000"/>
          <w:sz w:val="24"/>
          <w:szCs w:val="24"/>
        </w:rPr>
        <w:t xml:space="preserve"/>
      </w:r>
    </w:p>
    <w:p>
      <w:pPr>
        <w:pStyle w:val="Heading2"/>
        <w:spacing w:after="120" w:before="240"/>
      </w:pPr>
      <w:r>
        <w:rPr>
          <w:rFonts w:ascii="Times New Roman" w:eastAsia="SimHei"/>
          <w:b/>
          <w:bCs/>
          <w:color w:val="0A1628"/>
        </w:rPr>
        <w:t xml:space="preserve">1.3 Spacing and Layout</w:t>
      </w:r>
    </w:p>
    <w:p>
      <w:pPr>
        <w:spacing w:after="80" w:line="312"/>
        <w:ind w:firstLine="480"/>
        <w:jc w:val="both"/>
      </w:pPr>
      <w:r>
        <w:rPr>
          <w:rFonts w:ascii="Times New Roman" w:eastAsia="Microsoft YaHei"/>
          <w:color w:val="000000"/>
          <w:sz w:val="24"/>
          <w:szCs w:val="24"/>
        </w:rPr>
        <w:t xml:space="preserve">The application uses an 8px grid system for consistent spacing throughout all components. The max content width is 768px for mobile and 1280px for web, centered with 16px horizontal padding on mobile and 24px on tablet. Section vertical spacing uses 64px between major sections. Card internal padding uses 16px. The spacing scale follows the Tailwind CSS convention: 4px, 8px, 12px, 16px, 24px, 32px, 48px, 64px, 80px, 96px.</w:t>
      </w:r>
    </w:p>
    <w:p>
      <w:pPr>
        <w:pStyle w:val="Heading1"/>
        <w:spacing w:after="120" w:before="240"/>
      </w:pPr>
      <w:r>
        <w:rPr>
          <w:rFonts w:ascii="Times New Roman" w:eastAsia="SimHei"/>
          <w:b/>
          <w:bCs/>
          <w:color w:val="0A1628"/>
        </w:rPr>
        <w:t xml:space="preserve">2. Screen Specifications</w:t>
      </w:r>
    </w:p>
    <w:p>
      <w:pPr>
        <w:pStyle w:val="Heading2"/>
        <w:spacing w:after="120" w:before="240"/>
      </w:pPr>
      <w:r>
        <w:rPr>
          <w:rFonts w:ascii="Times New Roman" w:eastAsia="SimHei"/>
          <w:b/>
          <w:bCs/>
          <w:color w:val="0A1628"/>
        </w:rPr>
        <w:t xml:space="preserve">2.1 Home / Hero Screen</w:t>
      </w:r>
    </w:p>
    <w:p>
      <w:pPr>
        <w:spacing w:after="80" w:line="312"/>
        <w:ind w:firstLine="480"/>
        <w:jc w:val="both"/>
      </w:pPr>
      <w:r>
        <w:rPr>
          <w:rFonts w:ascii="Times New Roman" w:eastAsia="Microsoft YaHei"/>
          <w:color w:val="000000"/>
          <w:sz w:val="24"/>
          <w:szCs w:val="24"/>
        </w:rPr>
        <w:t xml:space="preserve">The hero screen is the first thing users see. It occupies the full viewport height with a centered content area. The background features subtle floating notification badges with the notification-pulse animation cycling at 3-second intervals. The hero heading uses a three-line stack layout: 'One Feed.' / 'All Platforms.' / 'Maximum Earnings.' where the third line renders in the amber-to-orange gradient. Two CTA buttons are arranged horizontally: 'Start Free Trial' (gradient fill, primary) and 'See How It Works' (outline, secondary). A stats bar at the bottom displays three metrics: 12K+ Active Drivers, $2.4M Earned This Month, and 99.9% Uptime.</w:t>
      </w:r>
    </w:p>
    <w:p>
      <w:pPr>
        <w:pStyle w:val="Heading2"/>
        <w:spacing w:after="120" w:before="240"/>
      </w:pPr>
      <w:r>
        <w:rPr>
          <w:rFonts w:ascii="Times New Roman" w:eastAsia="SimHei"/>
          <w:b/>
          <w:bCs/>
          <w:color w:val="0A1628"/>
        </w:rPr>
        <w:t xml:space="preserve">2.2 Live Dashboard Screen</w:t>
      </w:r>
    </w:p>
    <w:p>
      <w:pPr>
        <w:spacing w:after="80" w:line="312"/>
        <w:ind w:firstLine="480"/>
        <w:jc w:val="both"/>
      </w:pPr>
      <w:r>
        <w:rPr>
          <w:rFonts w:ascii="Times New Roman" w:eastAsia="Microsoft YaHei"/>
          <w:color w:val="000000"/>
          <w:sz w:val="24"/>
          <w:szCs w:val="24"/>
        </w:rPr>
        <w:t xml:space="preserve">The dashboard is the core functional screen. It consists of three major areas: the summary statistics bar at the top (Orders Today, Total Earnings, Best Platform Today), the filter and control bar (platform filter pills + Pause/Resume button), and the scrollable notification feed (max 600px height, custom scrollbar). Each pending order card uses the platform's border color and background tint, with a header row, details section, countdown timer bar, and Accept/Decline action buttons.</w:t>
      </w:r>
    </w:p>
    <w:p>
      <w:pPr>
        <w:pStyle w:val="Heading2"/>
        <w:spacing w:after="120" w:before="240"/>
      </w:pPr>
      <w:r>
        <w:rPr>
          <w:rFonts w:ascii="Times New Roman" w:eastAsia="SimHei"/>
          <w:b/>
          <w:bCs/>
          <w:color w:val="0A1628"/>
        </w:rPr>
        <w:t xml:space="preserve">2.3 Earnings Screen</w:t>
      </w:r>
    </w:p>
    <w:p>
      <w:pPr>
        <w:spacing w:after="80" w:line="312"/>
        <w:ind w:firstLine="480"/>
        <w:jc w:val="both"/>
      </w:pPr>
      <w:r>
        <w:rPr>
          <w:rFonts w:ascii="Times New Roman" w:eastAsia="Microsoft YaHei"/>
          <w:color w:val="000000"/>
          <w:sz w:val="24"/>
          <w:szCs w:val="24"/>
        </w:rPr>
        <w:t xml:space="preserve">The earnings screen features a 4-column stats grid showing Today's Earnings, Orders Completed, Average Per Order, and Best Hour. Below the stats, a 2-column layout displays the Weekly Earnings stacked bar chart on the left (using Recharts BarChart with custom platform colors) and the Platform Breakdown card on the right with per-platform progress bars. The chart uses the shadcn/ui ChartContainer component.</w:t>
      </w:r>
    </w:p>
    <w:p>
      <w:pPr>
        <w:pStyle w:val="Heading2"/>
        <w:spacing w:after="120" w:before="240"/>
      </w:pPr>
      <w:r>
        <w:rPr>
          <w:rFonts w:ascii="Times New Roman" w:eastAsia="SimHei"/>
          <w:b/>
          <w:bCs/>
          <w:color w:val="0A1628"/>
        </w:rPr>
        <w:t xml:space="preserve">2.4 Platforms Screen</w:t>
      </w:r>
    </w:p>
    <w:p>
      <w:pPr>
        <w:spacing w:after="80" w:line="312"/>
        <w:ind w:firstLine="480"/>
        <w:jc w:val="both"/>
      </w:pPr>
      <w:r>
        <w:rPr>
          <w:rFonts w:ascii="Times New Roman" w:eastAsia="Microsoft YaHei"/>
          <w:color w:val="000000"/>
          <w:sz w:val="24"/>
          <w:szCs w:val="24"/>
        </w:rPr>
        <w:t xml:space="preserve">The platforms screen shows a summary header with three metrics (Connected count, Total Today earnings, Total Notifications) and a 3-column grid of platform cards. Each card displays the platform icon, name, connection status, a Switch toggle, and when connected, a 2-column mini-grid showing Notifications count and Earned Today amount. Disconnected platforms show a Connect button with dashed border styling.</w:t>
      </w:r>
    </w:p>
    <w:p>
      <w:pPr>
        <w:pStyle w:val="Heading2"/>
        <w:spacing w:after="120" w:before="240"/>
      </w:pPr>
      <w:r>
        <w:rPr>
          <w:rFonts w:ascii="Times New Roman" w:eastAsia="SimHei"/>
          <w:b/>
          <w:bCs/>
          <w:color w:val="0A1628"/>
        </w:rPr>
        <w:t xml:space="preserve">2.5 Pricing Screen</w:t>
      </w:r>
    </w:p>
    <w:p>
      <w:pPr>
        <w:spacing w:after="80" w:line="312"/>
        <w:ind w:firstLine="480"/>
        <w:jc w:val="both"/>
      </w:pPr>
      <w:r>
        <w:rPr>
          <w:rFonts w:ascii="Times New Roman" w:eastAsia="Microsoft YaHei"/>
          <w:color w:val="000000"/>
          <w:sz w:val="24"/>
          <w:szCs w:val="24"/>
        </w:rPr>
        <w:t xml:space="preserve">The pricing screen uses a 2-column card layout with the Free card on the left and the Premium card on the right. The Premium card has an amber border, a 'Most Popular' badge, and a shadow effect. Each card lists features with check/X icons. The Premium CTA uses the brand gradient; the Free CTA uses an outline variant.</w:t>
      </w:r>
    </w:p>
    <w:p>
      <w:pPr>
        <w:pStyle w:val="Heading2"/>
        <w:spacing w:after="120" w:before="240"/>
      </w:pPr>
      <w:r>
        <w:rPr>
          <w:rFonts w:ascii="Times New Roman" w:eastAsia="SimHei"/>
          <w:b/>
          <w:bCs/>
          <w:color w:val="0A1628"/>
        </w:rPr>
        <w:t xml:space="preserve">2.6 Settings Screen</w:t>
      </w:r>
    </w:p>
    <w:p>
      <w:pPr>
        <w:spacing w:after="80" w:line="312"/>
        <w:ind w:firstLine="480"/>
        <w:jc w:val="both"/>
      </w:pPr>
      <w:r>
        <w:rPr>
          <w:rFonts w:ascii="Times New Roman" w:eastAsia="Microsoft YaHei"/>
          <w:color w:val="000000"/>
          <w:sz w:val="24"/>
          <w:szCs w:val="24"/>
        </w:rPr>
        <w:t xml:space="preserve">The settings screen uses a single-column layout with max width 768px. It contains four card sections: Notification Preferences (Sound Alerts, Vibration, Voice Alerts with Switch toggles), Auto-Accept Rules (enable toggle plus sliders for Min Value and Max Distance), Safety Features (Ride-Safe Mode), and Appearance (Dark Mode toggle integrated with next-themes). A Save Settings gradient button shows a confirmation state for 2 seconds after clicking.</w:t>
      </w:r>
    </w:p>
    <w:p>
      <w:pPr>
        <w:pStyle w:val="Heading1"/>
        <w:spacing w:after="120" w:before="240"/>
      </w:pPr>
      <w:r>
        <w:rPr>
          <w:rFonts w:ascii="Times New Roman" w:eastAsia="SimHei"/>
          <w:b/>
          <w:bCs/>
          <w:color w:val="0A1628"/>
        </w:rPr>
        <w:t xml:space="preserve">3. Animation Specifications</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gridCol w:w="100"/>
        <w:gridCol w:w="100"/>
      </w:tblGrid>
      <w:tr>
        <w:trPr>
          <w:cantSplit/>
          <w:tblHeader/>
        </w:trPr>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Animation</w:t>
            </w:r>
          </w:p>
        </w:tc>
        <w:tc>
          <w:tcPr>
            <w:tcW w:type="pct" w:w="1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Duration</w:t>
            </w:r>
          </w:p>
        </w:tc>
        <w:tc>
          <w:tcPr>
            <w:tcW w:type="pct" w:w="1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Easing</w:t>
            </w:r>
          </w:p>
        </w:tc>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Trigger</w:t>
            </w:r>
          </w:p>
        </w:tc>
        <w:tc>
          <w:tcPr>
            <w:tcW w:type="pct" w:w="25%"/>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CSS Class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Float Up</w:t>
            </w:r>
          </w:p>
        </w:tc>
        <w:tc>
          <w:tcPr>
            <w:tcW w:type="pct" w:w="15%"/>
            <w:tcMar>
              <w:top w:type="dxa" w:w="60"/>
              <w:left w:type="dxa" w:w="120"/>
              <w:bottom w:type="dxa" w:w="60"/>
              <w:right w:type="dxa" w:w="120"/>
            </w:tcMar>
          </w:tcPr>
          <w:p>
            <w:r>
              <w:rPr>
                <w:rFonts w:ascii="Times New Roman" w:eastAsia="Microsoft YaHei"/>
                <w:color w:val="000000"/>
                <w:sz w:val="21"/>
                <w:szCs w:val="21"/>
              </w:rPr>
              <w:t xml:space="preserve">0.5s</w:t>
            </w:r>
          </w:p>
        </w:tc>
        <w:tc>
          <w:tcPr>
            <w:tcW w:type="pct" w:w="15%"/>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5%"/>
            <w:tcMar>
              <w:top w:type="dxa" w:w="60"/>
              <w:left w:type="dxa" w:w="120"/>
              <w:bottom w:type="dxa" w:w="60"/>
              <w:right w:type="dxa" w:w="120"/>
            </w:tcMar>
          </w:tcPr>
          <w:p>
            <w:r>
              <w:rPr>
                <w:rFonts w:ascii="Times New Roman" w:eastAsia="Microsoft YaHei"/>
                <w:color w:val="000000"/>
                <w:sz w:val="21"/>
                <w:szCs w:val="21"/>
              </w:rPr>
              <w:t xml:space="preserve">Element enters viewport</w:t>
            </w:r>
          </w:p>
        </w:tc>
        <w:tc>
          <w:tcPr>
            <w:tcW w:type="pct" w:w="25%"/>
            <w:tcMar>
              <w:top w:type="dxa" w:w="60"/>
              <w:left w:type="dxa" w:w="120"/>
              <w:bottom w:type="dxa" w:w="60"/>
              <w:right w:type="dxa" w:w="120"/>
            </w:tcMar>
          </w:tcPr>
          <w:p>
            <w:r>
              <w:rPr>
                <w:rFonts w:ascii="Times New Roman" w:eastAsia="Microsoft YaHei"/>
                <w:color w:val="000000"/>
                <w:sz w:val="21"/>
                <w:szCs w:val="21"/>
              </w:rPr>
              <w:t xml:space="preserve">animate-float-up</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Slide In Left</w:t>
            </w:r>
          </w:p>
        </w:tc>
        <w:tc>
          <w:tcPr>
            <w:tcW w:type="pct" w:w="15%"/>
            <w:tcMar>
              <w:top w:type="dxa" w:w="60"/>
              <w:left w:type="dxa" w:w="120"/>
              <w:bottom w:type="dxa" w:w="60"/>
              <w:right w:type="dxa" w:w="120"/>
            </w:tcMar>
          </w:tcPr>
          <w:p>
            <w:r>
              <w:rPr>
                <w:rFonts w:ascii="Times New Roman" w:eastAsia="Microsoft YaHei"/>
                <w:color w:val="000000"/>
                <w:sz w:val="21"/>
                <w:szCs w:val="21"/>
              </w:rPr>
              <w:t xml:space="preserve">0.4s</w:t>
            </w:r>
          </w:p>
        </w:tc>
        <w:tc>
          <w:tcPr>
            <w:tcW w:type="pct" w:w="15%"/>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5%"/>
            <w:tcMar>
              <w:top w:type="dxa" w:w="60"/>
              <w:left w:type="dxa" w:w="120"/>
              <w:bottom w:type="dxa" w:w="60"/>
              <w:right w:type="dxa" w:w="120"/>
            </w:tcMar>
          </w:tcPr>
          <w:p>
            <w:r>
              <w:rPr>
                <w:rFonts w:ascii="Times New Roman" w:eastAsia="Microsoft YaHei"/>
                <w:color w:val="000000"/>
                <w:sz w:val="21"/>
                <w:szCs w:val="21"/>
              </w:rPr>
              <w:t xml:space="preserve">Left-side notifications</w:t>
            </w:r>
          </w:p>
        </w:tc>
        <w:tc>
          <w:tcPr>
            <w:tcW w:type="pct" w:w="25%"/>
            <w:tcMar>
              <w:top w:type="dxa" w:w="60"/>
              <w:left w:type="dxa" w:w="120"/>
              <w:bottom w:type="dxa" w:w="60"/>
              <w:right w:type="dxa" w:w="120"/>
            </w:tcMar>
          </w:tcPr>
          <w:p>
            <w:r>
              <w:rPr>
                <w:rFonts w:ascii="Times New Roman" w:eastAsia="Microsoft YaHei"/>
                <w:color w:val="000000"/>
                <w:sz w:val="21"/>
                <w:szCs w:val="21"/>
              </w:rPr>
              <w:t xml:space="preserve">animate-slide-in-left</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Slide In Right</w:t>
            </w:r>
          </w:p>
        </w:tc>
        <w:tc>
          <w:tcPr>
            <w:tcW w:type="pct" w:w="15%"/>
            <w:tcMar>
              <w:top w:type="dxa" w:w="60"/>
              <w:left w:type="dxa" w:w="120"/>
              <w:bottom w:type="dxa" w:w="60"/>
              <w:right w:type="dxa" w:w="120"/>
            </w:tcMar>
          </w:tcPr>
          <w:p>
            <w:r>
              <w:rPr>
                <w:rFonts w:ascii="Times New Roman" w:eastAsia="Microsoft YaHei"/>
                <w:color w:val="000000"/>
                <w:sz w:val="21"/>
                <w:szCs w:val="21"/>
              </w:rPr>
              <w:t xml:space="preserve">0.4s</w:t>
            </w:r>
          </w:p>
        </w:tc>
        <w:tc>
          <w:tcPr>
            <w:tcW w:type="pct" w:w="15%"/>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5%"/>
            <w:tcMar>
              <w:top w:type="dxa" w:w="60"/>
              <w:left w:type="dxa" w:w="120"/>
              <w:bottom w:type="dxa" w:w="60"/>
              <w:right w:type="dxa" w:w="120"/>
            </w:tcMar>
          </w:tcPr>
          <w:p>
            <w:r>
              <w:rPr>
                <w:rFonts w:ascii="Times New Roman" w:eastAsia="Microsoft YaHei"/>
                <w:color w:val="000000"/>
                <w:sz w:val="21"/>
                <w:szCs w:val="21"/>
              </w:rPr>
              <w:t xml:space="preserve">Right-side notifications</w:t>
            </w:r>
          </w:p>
        </w:tc>
        <w:tc>
          <w:tcPr>
            <w:tcW w:type="pct" w:w="25%"/>
            <w:tcMar>
              <w:top w:type="dxa" w:w="60"/>
              <w:left w:type="dxa" w:w="120"/>
              <w:bottom w:type="dxa" w:w="60"/>
              <w:right w:type="dxa" w:w="120"/>
            </w:tcMar>
          </w:tcPr>
          <w:p>
            <w:r>
              <w:rPr>
                <w:rFonts w:ascii="Times New Roman" w:eastAsia="Microsoft YaHei"/>
                <w:color w:val="000000"/>
                <w:sz w:val="21"/>
                <w:szCs w:val="21"/>
              </w:rPr>
              <w:t xml:space="preserve">animate-slide-in-right</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Notification Pulse</w:t>
            </w:r>
          </w:p>
        </w:tc>
        <w:tc>
          <w:tcPr>
            <w:tcW w:type="pct" w:w="15%"/>
            <w:tcMar>
              <w:top w:type="dxa" w:w="60"/>
              <w:left w:type="dxa" w:w="120"/>
              <w:bottom w:type="dxa" w:w="60"/>
              <w:right w:type="dxa" w:w="120"/>
            </w:tcMar>
          </w:tcPr>
          <w:p>
            <w:r>
              <w:rPr>
                <w:rFonts w:ascii="Times New Roman" w:eastAsia="Microsoft YaHei"/>
                <w:color w:val="000000"/>
                <w:sz w:val="21"/>
                <w:szCs w:val="21"/>
              </w:rPr>
              <w:t xml:space="preserve">3s</w:t>
            </w:r>
          </w:p>
        </w:tc>
        <w:tc>
          <w:tcPr>
            <w:tcW w:type="pct" w:w="15%"/>
            <w:tcMar>
              <w:top w:type="dxa" w:w="60"/>
              <w:left w:type="dxa" w:w="120"/>
              <w:bottom w:type="dxa" w:w="60"/>
              <w:right w:type="dxa" w:w="120"/>
            </w:tcMar>
          </w:tcPr>
          <w:p>
            <w:r>
              <w:rPr>
                <w:rFonts w:ascii="Times New Roman" w:eastAsia="Microsoft YaHei"/>
                <w:color w:val="000000"/>
                <w:sz w:val="21"/>
                <w:szCs w:val="21"/>
              </w:rPr>
              <w:t xml:space="preserve">ease-in-out</w:t>
            </w:r>
          </w:p>
        </w:tc>
        <w:tc>
          <w:tcPr>
            <w:tcW w:type="pct" w:w="25%"/>
            <w:tcMar>
              <w:top w:type="dxa" w:w="60"/>
              <w:left w:type="dxa" w:w="120"/>
              <w:bottom w:type="dxa" w:w="60"/>
              <w:right w:type="dxa" w:w="120"/>
            </w:tcMar>
          </w:tcPr>
          <w:p>
            <w:r>
              <w:rPr>
                <w:rFonts w:ascii="Times New Roman" w:eastAsia="Microsoft YaHei"/>
                <w:color w:val="000000"/>
                <w:sz w:val="21"/>
                <w:szCs w:val="21"/>
              </w:rPr>
              <w:t xml:space="preserve">Continuous on floating badges</w:t>
            </w:r>
          </w:p>
        </w:tc>
        <w:tc>
          <w:tcPr>
            <w:tcW w:type="pct" w:w="25%"/>
            <w:tcMar>
              <w:top w:type="dxa" w:w="60"/>
              <w:left w:type="dxa" w:w="120"/>
              <w:bottom w:type="dxa" w:w="60"/>
              <w:right w:type="dxa" w:w="120"/>
            </w:tcMar>
          </w:tcPr>
          <w:p>
            <w:r>
              <w:rPr>
                <w:rFonts w:ascii="Times New Roman" w:eastAsia="Microsoft YaHei"/>
                <w:color w:val="000000"/>
                <w:sz w:val="21"/>
                <w:szCs w:val="21"/>
              </w:rPr>
              <w:t xml:space="preserve">animate-notification-pulse</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Countdown Shrink</w:t>
            </w:r>
          </w:p>
        </w:tc>
        <w:tc>
          <w:tcPr>
            <w:tcW w:type="pct" w:w="15%"/>
            <w:tcMar>
              <w:top w:type="dxa" w:w="60"/>
              <w:left w:type="dxa" w:w="120"/>
              <w:bottom w:type="dxa" w:w="60"/>
              <w:right w:type="dxa" w:w="120"/>
            </w:tcMar>
          </w:tcPr>
          <w:p>
            <w:r>
              <w:rPr>
                <w:rFonts w:ascii="Times New Roman" w:eastAsia="Microsoft YaHei"/>
                <w:color w:val="000000"/>
                <w:sz w:val="21"/>
                <w:szCs w:val="21"/>
              </w:rPr>
              <w:t xml:space="preserve">1s per step</w:t>
            </w:r>
          </w:p>
        </w:tc>
        <w:tc>
          <w:tcPr>
            <w:tcW w:type="pct" w:w="15%"/>
            <w:tcMar>
              <w:top w:type="dxa" w:w="60"/>
              <w:left w:type="dxa" w:w="120"/>
              <w:bottom w:type="dxa" w:w="60"/>
              <w:right w:type="dxa" w:w="120"/>
            </w:tcMar>
          </w:tcPr>
          <w:p>
            <w:r>
              <w:rPr>
                <w:rFonts w:ascii="Times New Roman" w:eastAsia="Microsoft YaHei"/>
                <w:color w:val="000000"/>
                <w:sz w:val="21"/>
                <w:szCs w:val="21"/>
              </w:rPr>
              <w:t xml:space="preserve">linear</w:t>
            </w:r>
          </w:p>
        </w:tc>
        <w:tc>
          <w:tcPr>
            <w:tcW w:type="pct" w:w="25%"/>
            <w:tcMar>
              <w:top w:type="dxa" w:w="60"/>
              <w:left w:type="dxa" w:w="120"/>
              <w:bottom w:type="dxa" w:w="60"/>
              <w:right w:type="dxa" w:w="120"/>
            </w:tcMar>
          </w:tcPr>
          <w:p>
            <w:r>
              <w:rPr>
                <w:rFonts w:ascii="Times New Roman" w:eastAsia="Microsoft YaHei"/>
                <w:color w:val="000000"/>
                <w:sz w:val="21"/>
                <w:szCs w:val="21"/>
              </w:rPr>
              <w:t xml:space="preserve">Order timer bar decrement</w:t>
            </w:r>
          </w:p>
        </w:tc>
        <w:tc>
          <w:tcPr>
            <w:tcW w:type="pct" w:w="25%"/>
            <w:tcMar>
              <w:top w:type="dxa" w:w="60"/>
              <w:left w:type="dxa" w:w="120"/>
              <w:bottom w:type="dxa" w:w="60"/>
              <w:right w:type="dxa" w:w="120"/>
            </w:tcMar>
          </w:tcPr>
          <w:p>
            <w:r>
              <w:rPr>
                <w:rFonts w:ascii="Times New Roman" w:eastAsia="Microsoft YaHei"/>
                <w:color w:val="000000"/>
                <w:sz w:val="21"/>
                <w:szCs w:val="21"/>
              </w:rPr>
              <w:t xml:space="preserve">Transition on width</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4. Responsive Breakpoints</w:t>
      </w:r>
    </w:p>
    <w:tbl>
      <w:tblPr>
        <w:tblW w:type="pct" w:w="100%"/>
        <w:tblBorders>
          <w:top w:val="single" w:color="2A6B8A" w:sz="2"/>
          <w:left w:val="none" w:color="FFFFFF" w:sz="0"/>
          <w:bottom w:val="single" w:color="2A6B8A" w:sz="2"/>
          <w:right w:val="none" w:color="FFFFFF" w:sz="0"/>
          <w:insideH w:val="single" w:color="D0DDE8" w:sz="1"/>
          <w:insideV w:val="none" w:color="FFFFFF" w:sz="0"/>
        </w:tblBorders>
      </w:tblPr>
      <w:tblGrid>
        <w:gridCol w:w="100"/>
        <w:gridCol w:w="100"/>
        <w:gridCol w:w="100"/>
        <w:gridCol w:w="100"/>
        <w:gridCol w:w="100"/>
      </w:tblGrid>
      <w:tr>
        <w:trPr>
          <w:cantSplit/>
          <w:tblHeader/>
        </w:trPr>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Breakpoint</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Width</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Grid Cols</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Navigation</w:t>
            </w:r>
          </w:p>
        </w:tc>
        <w:tc>
          <w:tcPr>
            <w:tcW w:type="pct" w:w="20%"/>
            <w:shd w:fill="2A6B8A" w:val="clear"/>
            <w:tcMar>
              <w:top w:type="dxa" w:w="60"/>
              <w:left w:type="dxa" w:w="120"/>
              <w:bottom w:type="dxa" w:w="60"/>
              <w:right w:type="dxa" w:w="120"/>
            </w:tcMar>
          </w:tcPr>
          <w:p>
            <w:pPr>
              <w:jc w:val="center"/>
            </w:pPr>
            <w:r>
              <w:rPr>
                <w:rFonts w:ascii="Times New Roman" w:eastAsia="SimHei"/>
                <w:b/>
                <w:bCs/>
                <w:color w:val="FFFFFF"/>
                <w:sz w:val="21"/>
                <w:szCs w:val="21"/>
              </w:rPr>
              <w:t xml:space="preserve">Key Changes</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Mobile</w:t>
            </w:r>
          </w:p>
        </w:tc>
        <w:tc>
          <w:tcPr>
            <w:tcW w:type="pct" w:w="20%"/>
            <w:tcMar>
              <w:top w:type="dxa" w:w="60"/>
              <w:left w:type="dxa" w:w="120"/>
              <w:bottom w:type="dxa" w:w="60"/>
              <w:right w:type="dxa" w:w="120"/>
            </w:tcMar>
          </w:tcPr>
          <w:p>
            <w:r>
              <w:rPr>
                <w:rFonts w:ascii="Times New Roman" w:eastAsia="Microsoft YaHei"/>
                <w:color w:val="000000"/>
                <w:sz w:val="21"/>
                <w:szCs w:val="21"/>
              </w:rPr>
              <w:t xml:space="preserve">&lt; 640px</w:t>
            </w:r>
          </w:p>
        </w:tc>
        <w:tc>
          <w:tcPr>
            <w:tcW w:type="pct" w:w="20%"/>
            <w:tcMar>
              <w:top w:type="dxa" w:w="60"/>
              <w:left w:type="dxa" w:w="120"/>
              <w:bottom w:type="dxa" w:w="60"/>
              <w:right w:type="dxa" w:w="120"/>
            </w:tcMar>
          </w:tcPr>
          <w:p>
            <w:r>
              <w:rPr>
                <w:rFonts w:ascii="Times New Roman" w:eastAsia="Microsoft YaHei"/>
                <w:color w:val="000000"/>
                <w:sz w:val="21"/>
                <w:szCs w:val="21"/>
              </w:rPr>
              <w:t xml:space="preserve">1-2 cols</w:t>
            </w:r>
          </w:p>
        </w:tc>
        <w:tc>
          <w:tcPr>
            <w:tcW w:type="pct" w:w="20%"/>
            <w:tcMar>
              <w:top w:type="dxa" w:w="60"/>
              <w:left w:type="dxa" w:w="120"/>
              <w:bottom w:type="dxa" w:w="60"/>
              <w:right w:type="dxa" w:w="120"/>
            </w:tcMar>
          </w:tcPr>
          <w:p>
            <w:r>
              <w:rPr>
                <w:rFonts w:ascii="Times New Roman" w:eastAsia="Microsoft YaHei"/>
                <w:color w:val="000000"/>
                <w:sz w:val="21"/>
                <w:szCs w:val="21"/>
              </w:rPr>
              <w:t xml:space="preserve">Hamburger + Sheet</w:t>
            </w:r>
          </w:p>
        </w:tc>
        <w:tc>
          <w:tcPr>
            <w:tcW w:type="pct" w:w="20%"/>
            <w:tcMar>
              <w:top w:type="dxa" w:w="60"/>
              <w:left w:type="dxa" w:w="120"/>
              <w:bottom w:type="dxa" w:w="60"/>
              <w:right w:type="dxa" w:w="120"/>
            </w:tcMar>
          </w:tcPr>
          <w:p>
            <w:r>
              <w:rPr>
                <w:rFonts w:ascii="Times New Roman" w:eastAsia="Microsoft YaHei"/>
                <w:color w:val="000000"/>
                <w:sz w:val="21"/>
                <w:szCs w:val="21"/>
              </w:rPr>
              <w:t xml:space="preserve">Stacked cards, full-width feed</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Tablet</w:t>
            </w:r>
          </w:p>
        </w:tc>
        <w:tc>
          <w:tcPr>
            <w:tcW w:type="pct" w:w="20%"/>
            <w:tcMar>
              <w:top w:type="dxa" w:w="60"/>
              <w:left w:type="dxa" w:w="120"/>
              <w:bottom w:type="dxa" w:w="60"/>
              <w:right w:type="dxa" w:w="120"/>
            </w:tcMar>
          </w:tcPr>
          <w:p>
            <w:r>
              <w:rPr>
                <w:rFonts w:ascii="Times New Roman" w:eastAsia="Microsoft YaHei"/>
                <w:color w:val="000000"/>
                <w:sz w:val="21"/>
                <w:szCs w:val="21"/>
              </w:rPr>
              <w:t xml:space="preserve">640-1024px</w:t>
            </w:r>
          </w:p>
        </w:tc>
        <w:tc>
          <w:tcPr>
            <w:tcW w:type="pct" w:w="20%"/>
            <w:tcMar>
              <w:top w:type="dxa" w:w="60"/>
              <w:left w:type="dxa" w:w="120"/>
              <w:bottom w:type="dxa" w:w="60"/>
              <w:right w:type="dxa" w:w="120"/>
            </w:tcMar>
          </w:tcPr>
          <w:p>
            <w:r>
              <w:rPr>
                <w:rFonts w:ascii="Times New Roman" w:eastAsia="Microsoft YaHei"/>
                <w:color w:val="000000"/>
                <w:sz w:val="21"/>
                <w:szCs w:val="21"/>
              </w:rPr>
              <w:t xml:space="preserve">2-3 cols</w:t>
            </w:r>
          </w:p>
        </w:tc>
        <w:tc>
          <w:tcPr>
            <w:tcW w:type="pct" w:w="20%"/>
            <w:tcMar>
              <w:top w:type="dxa" w:w="60"/>
              <w:left w:type="dxa" w:w="120"/>
              <w:bottom w:type="dxa" w:w="60"/>
              <w:right w:type="dxa" w:w="120"/>
            </w:tcMar>
          </w:tcPr>
          <w:p>
            <w:r>
              <w:rPr>
                <w:rFonts w:ascii="Times New Roman" w:eastAsia="Microsoft YaHei"/>
                <w:color w:val="000000"/>
                <w:sz w:val="21"/>
                <w:szCs w:val="21"/>
              </w:rPr>
              <w:t xml:space="preserve">Full navbar</w:t>
            </w:r>
          </w:p>
        </w:tc>
        <w:tc>
          <w:tcPr>
            <w:tcW w:type="pct" w:w="20%"/>
            <w:tcMar>
              <w:top w:type="dxa" w:w="60"/>
              <w:left w:type="dxa" w:w="120"/>
              <w:bottom w:type="dxa" w:w="60"/>
              <w:right w:type="dxa" w:w="120"/>
            </w:tcMar>
          </w:tcPr>
          <w:p>
            <w:r>
              <w:rPr>
                <w:rFonts w:ascii="Times New Roman" w:eastAsia="Microsoft YaHei"/>
                <w:color w:val="000000"/>
                <w:sz w:val="21"/>
                <w:szCs w:val="21"/>
              </w:rPr>
              <w:t xml:space="preserve">Side-by-side cards, compact feed</w:t>
            </w:r>
          </w:p>
        </w:tc>
      </w:tr>
      <w:tr>
        <w:trPr>
          <w:cantSplit/>
        </w:trPr>
        <w:tc>
          <w:tcPr>
            <w:tcW w:type="pct" w:w="20%"/>
            <w:tcMar>
              <w:top w:type="dxa" w:w="60"/>
              <w:left w:type="dxa" w:w="120"/>
              <w:bottom w:type="dxa" w:w="60"/>
              <w:right w:type="dxa" w:w="120"/>
            </w:tcMar>
          </w:tcPr>
          <w:p>
            <w:r>
              <w:rPr>
                <w:rFonts w:ascii="Times New Roman" w:eastAsia="Microsoft YaHei"/>
                <w:color w:val="000000"/>
                <w:sz w:val="21"/>
                <w:szCs w:val="21"/>
              </w:rPr>
              <w:t xml:space="preserve">Desktop</w:t>
            </w:r>
          </w:p>
        </w:tc>
        <w:tc>
          <w:tcPr>
            <w:tcW w:type="pct" w:w="20%"/>
            <w:tcMar>
              <w:top w:type="dxa" w:w="60"/>
              <w:left w:type="dxa" w:w="120"/>
              <w:bottom w:type="dxa" w:w="60"/>
              <w:right w:type="dxa" w:w="120"/>
            </w:tcMar>
          </w:tcPr>
          <w:p>
            <w:r>
              <w:rPr>
                <w:rFonts w:ascii="Times New Roman" w:eastAsia="Microsoft YaHei"/>
                <w:color w:val="000000"/>
                <w:sz w:val="21"/>
                <w:szCs w:val="21"/>
              </w:rPr>
              <w:t xml:space="preserve">&gt; 1024px</w:t>
            </w:r>
          </w:p>
        </w:tc>
        <w:tc>
          <w:tcPr>
            <w:tcW w:type="pct" w:w="20%"/>
            <w:tcMar>
              <w:top w:type="dxa" w:w="60"/>
              <w:left w:type="dxa" w:w="120"/>
              <w:bottom w:type="dxa" w:w="60"/>
              <w:right w:type="dxa" w:w="120"/>
            </w:tcMar>
          </w:tcPr>
          <w:p>
            <w:r>
              <w:rPr>
                <w:rFonts w:ascii="Times New Roman" w:eastAsia="Microsoft YaHei"/>
                <w:color w:val="000000"/>
                <w:sz w:val="21"/>
                <w:szCs w:val="21"/>
              </w:rPr>
              <w:t xml:space="preserve">3-4 cols</w:t>
            </w:r>
          </w:p>
        </w:tc>
        <w:tc>
          <w:tcPr>
            <w:tcW w:type="pct" w:w="20%"/>
            <w:tcMar>
              <w:top w:type="dxa" w:w="60"/>
              <w:left w:type="dxa" w:w="120"/>
              <w:bottom w:type="dxa" w:w="60"/>
              <w:right w:type="dxa" w:w="120"/>
            </w:tcMar>
          </w:tcPr>
          <w:p>
            <w:r>
              <w:rPr>
                <w:rFonts w:ascii="Times New Roman" w:eastAsia="Microsoft YaHei"/>
                <w:color w:val="000000"/>
                <w:sz w:val="21"/>
                <w:szCs w:val="21"/>
              </w:rPr>
              <w:t xml:space="preserve">Full navbar + CTA</w:t>
            </w:r>
          </w:p>
        </w:tc>
        <w:tc>
          <w:tcPr>
            <w:tcW w:type="pct" w:w="20%"/>
            <w:tcMar>
              <w:top w:type="dxa" w:w="60"/>
              <w:left w:type="dxa" w:w="120"/>
              <w:bottom w:type="dxa" w:w="60"/>
              <w:right w:type="dxa" w:w="120"/>
            </w:tcMar>
          </w:tcPr>
          <w:p>
            <w:r>
              <w:rPr>
                <w:rFonts w:ascii="Times New Roman" w:eastAsia="Microsoft YaHei"/>
                <w:color w:val="000000"/>
                <w:sz w:val="21"/>
                <w:szCs w:val="21"/>
              </w:rPr>
              <w:t xml:space="preserve">Full dashboard layout, wide chart</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240"/>
      </w:pPr>
      <w:r>
        <w:rPr>
          <w:rFonts w:ascii="Times New Roman" w:eastAsia="SimHei"/>
          <w:b/>
          <w:bCs/>
          <w:color w:val="0A1628"/>
        </w:rPr>
        <w:t xml:space="preserve">5. Component Library</w:t>
      </w:r>
    </w:p>
    <w:p>
      <w:pPr>
        <w:spacing w:after="80" w:line="312"/>
        <w:ind w:firstLine="480"/>
        <w:jc w:val="both"/>
      </w:pPr>
      <w:r>
        <w:rPr>
          <w:rFonts w:ascii="Times New Roman" w:eastAsia="Microsoft YaHei"/>
          <w:color w:val="000000"/>
          <w:sz w:val="24"/>
          <w:szCs w:val="24"/>
        </w:rPr>
        <w:t xml:space="preserve">The frontend uses shadcn/ui as the base component library, built on Radix UI primitives for accessibility. Components used: Button, Card, Badge, Switch, Slider, Separator, Label, and ScrollArea. Custom components include Navbar, HeroSection, DashboardSection, EarningsSection, PlatformsSection, PricingSection, and SettingsSection. All custom components follow the 'use client' directive pattern for Next.js App Router compatibility.</w:t>
      </w:r>
    </w:p>
    <w:p>
      <w:pPr>
        <w:pStyle w:val="Heading1"/>
        <w:spacing w:after="120" w:before="240"/>
      </w:pPr>
      <w:r>
        <w:rPr>
          <w:rFonts w:ascii="Times New Roman" w:eastAsia="SimHei"/>
          <w:b/>
          <w:bCs/>
          <w:color w:val="0A1628"/>
        </w:rPr>
        <w:t xml:space="preserve">6. Dark Mode Implementation</w:t>
      </w:r>
    </w:p>
    <w:p>
      <w:pPr>
        <w:spacing w:after="80" w:line="312"/>
        <w:ind w:firstLine="480"/>
        <w:jc w:val="both"/>
      </w:pPr>
      <w:r>
        <w:rPr>
          <w:rFonts w:ascii="Times New Roman" w:eastAsia="Microsoft YaHei"/>
          <w:color w:val="000000"/>
          <w:sz w:val="24"/>
          <w:szCs w:val="24"/>
        </w:rPr>
        <w:t xml:space="preserve">Dark mode is the default theme, implemented using next-themes with the class strategy. CSS variables are defined in globals.css using the oklch color space for perceptual uniformity. The .dark class triggers variable overrides. Theme switching is handled through ThemeProvider in layout.tsx, with toggle switches in the navbar and settings screen. The transition uses disableTransitionOnChange to prevent visible color transitions during page load.</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DeliveryBoost Frontend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2026-06-07T10:11:53.917Z</dcterms:created>
  <dcterms:modified xsi:type="dcterms:W3CDTF">2026-06-07T10:11:53.917Z</dcterms:modified>
</cp:coreProperties>
</file>

<file path=docProps/custom.xml><?xml version="1.0" encoding="utf-8"?>
<Properties xmlns="http://schemas.openxmlformats.org/officeDocument/2006/custom-properties" xmlns:vt="http://schemas.openxmlformats.org/officeDocument/2006/docPropsVTypes"/>
</file>