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200" w:hRule="exact"/>
        </w:trPr>
        <w:tc>
          <w:tcPr>
            <w:tcBorders>
              <w:top w:val="none" w:color="FFFFFF" w:sz="0"/>
              <w:left w:val="none" w:color="FFFFFF" w:sz="0"/>
              <w:bottom w:val="none" w:color="FFFFFF" w:sz="0"/>
              <w:right w:val="none" w:color="FFFFFF" w:sz="0"/>
            </w:tcBorders>
            <w:shd w:fill="0A1628" w:val="clear"/>
            <w:vAlign w:val="top"/>
          </w:tcPr>
          <w:p>
            <w:pPr>
              <w:spacing w:before="1800"/>
              <w:jc w:val="center"/>
            </w:pPr>
            <w:r>
              <w:rPr>
                <w:rFonts w:ascii="Times New Roman"/>
                <w:b/>
                <w:bCs/>
                <w:color w:val="FFFFFF"/>
                <w:sz w:val="60"/>
                <w:szCs w:val="60"/>
              </w:rPr>
              <w:t xml:space="preserve">DeliveryBoost</w:t>
            </w:r>
          </w:p>
          <w:p>
            <w:pPr>
              <w:spacing w:before="200"/>
              <w:jc w:val="center"/>
            </w:pPr>
            <w:r>
              <w:rPr>
                <w:rFonts w:ascii="Times New Roman"/>
                <w:color w:val="B0B8C0"/>
                <w:sz w:val="32"/>
                <w:szCs w:val="32"/>
              </w:rPr>
              <w:t xml:space="preserve">Security &amp; Access Control Document</w:t>
            </w:r>
          </w:p>
        </w:tc>
      </w:tr>
      <w:tr>
        <w:trPr>
          <w:trHeight w:val="12638" w:hRule="exact"/>
        </w:trPr>
        <w:tc>
          <w:tcPr>
            <w:tcBorders>
              <w:top w:val="none" w:color="FFFFFF" w:sz="0"/>
              <w:left w:val="none" w:color="FFFFFF" w:sz="0"/>
              <w:bottom w:val="none" w:color="FFFFFF" w:sz="0"/>
              <w:right w:val="none" w:color="FFFFFF" w:sz="0"/>
            </w:tcBorders>
            <w:vAlign w:val="top"/>
          </w:tcPr>
          <w:p>
            <w:pPr>
              <w:spacing w:before="2400"/>
              <w:jc w:val="center"/>
            </w:pPr>
            <w:r>
              <w:rPr>
                <w:color w:val="6878A0"/>
                <w:sz w:val="24"/>
                <w:szCs w:val="24"/>
              </w:rPr>
              <w:t xml:space="preserve">Version 1.0  |  June 7, 2026  |  Yashas K Gangatkar</w:t>
            </w:r>
          </w:p>
        </w:tc>
      </w:tr>
    </w:tbl>
    <w:p>
      <w:pPr>
        <w:sectPr>
          <w:pgSz w:w="11906" w:h="16838" w:orient="portrait"/>
          <w:pgMar w:top="0" w:right="0" w:bottom="0" w:left="0" w:header="708" w:footer="708" w:gutter="0"/>
          <w:pgNumType/>
          <w:docGrid w:linePitch="360"/>
        </w:sectPr>
      </w:pPr>
    </w:p>
    <w:p>
      <w:pPr>
        <w:pStyle w:val="Heading1"/>
        <w:spacing w:after="120" w:before="240"/>
      </w:pPr>
      <w:r>
        <w:rPr>
          <w:rFonts w:ascii="Times New Roman" w:eastAsia="SimHei"/>
          <w:b/>
          <w:bCs/>
          <w:color w:val="0A1628"/>
        </w:rPr>
        <w:t xml:space="preserve">1. Security Overview</w:t>
      </w:r>
    </w:p>
    <w:p>
      <w:pPr>
        <w:spacing w:after="80" w:line="312"/>
        <w:ind w:firstLine="480"/>
        <w:jc w:val="both"/>
      </w:pPr>
      <w:r>
        <w:rPr>
          <w:rFonts w:ascii="Times New Roman" w:eastAsia="Microsoft YaHei"/>
          <w:color w:val="000000"/>
          <w:sz w:val="24"/>
          <w:szCs w:val="24"/>
        </w:rPr>
        <w:t xml:space="preserve">DeliveryBoost handles sensitive user data including notification contents from delivery platforms, earnings information, location data, and payment credentials. This document defines the security architecture, access control policies, data protection measures, and compliance requirements that govern the entire system. Security is not an afterthought but a foundational principle that influences every architectural decision, from the choice of notification interception mechanism to the encryption of data at rest and in transit.</w:t>
      </w:r>
    </w:p>
    <w:p>
      <w:pPr>
        <w:spacing w:after="80" w:line="312"/>
        <w:ind w:firstLine="480"/>
        <w:jc w:val="both"/>
      </w:pPr>
      <w:r>
        <w:rPr>
          <w:rFonts w:ascii="Times New Roman" w:eastAsia="Microsoft YaHei"/>
          <w:color w:val="000000"/>
          <w:sz w:val="24"/>
          <w:szCs w:val="24"/>
        </w:rPr>
        <w:t xml:space="preserve">The threat model for DeliveryBoost encompasses three primary adversary categories: external attackers attempting to compromise user accounts or intercept notification data, malicious applications on the user's device attempting to access DeliveryBoost's notification data, and insider threats from development team members with access to production systems. Each category requires distinct mitigation strategies detailed in subsequent sections.</w:t>
      </w:r>
    </w:p>
    <w:p>
      <w:pPr>
        <w:pStyle w:val="Heading1"/>
        <w:spacing w:after="120" w:before="240"/>
      </w:pPr>
      <w:r>
        <w:rPr>
          <w:rFonts w:ascii="Times New Roman" w:eastAsia="SimHei"/>
          <w:b/>
          <w:bCs/>
          <w:color w:val="0A1628"/>
        </w:rPr>
        <w:t xml:space="preserve">2. Authentication and Authorization</w:t>
      </w:r>
    </w:p>
    <w:p>
      <w:pPr>
        <w:pStyle w:val="Heading2"/>
        <w:spacing w:after="120" w:before="240"/>
      </w:pPr>
      <w:r>
        <w:rPr>
          <w:rFonts w:ascii="Times New Roman" w:eastAsia="SimHei"/>
          <w:b/>
          <w:bCs/>
          <w:color w:val="0A1628"/>
        </w:rPr>
        <w:t xml:space="preserve">2.1 User Authentication</w:t>
      </w:r>
    </w:p>
    <w:p>
      <w:pPr>
        <w:spacing w:after="80" w:line="312"/>
        <w:ind w:firstLine="480"/>
        <w:jc w:val="both"/>
      </w:pPr>
      <w:r>
        <w:rPr>
          <w:rFonts w:ascii="Times New Roman" w:eastAsia="Microsoft YaHei"/>
          <w:color w:val="000000"/>
          <w:sz w:val="24"/>
          <w:szCs w:val="24"/>
        </w:rPr>
        <w:t xml:space="preserve">User authentication is managed through Firebase Authentication, which supports email/password, Google Sign-In, and phone number authentication. All authentication flows use industry-standard OAuth 2.0 and OpenID Connect protocols. Firebase Auth tokens are JWTs with a 1-hour expiration and automatic refresh, ensuring that compromised tokens have a limited window of validity. Multi-factor authentication is available but not enforced for free-tier users to minimize onboarding friction.</w:t>
      </w:r>
    </w:p>
    <w:p>
      <w:pPr>
        <w:pStyle w:val="Heading2"/>
        <w:spacing w:after="120" w:before="240"/>
      </w:pPr>
      <w:r>
        <w:rPr>
          <w:rFonts w:ascii="Times New Roman" w:eastAsia="SimHei"/>
          <w:b/>
          <w:bCs/>
          <w:color w:val="0A1628"/>
        </w:rPr>
        <w:t xml:space="preserve">2.2 API Authorization</w:t>
      </w:r>
    </w:p>
    <w:p>
      <w:pPr>
        <w:spacing w:after="80" w:line="312"/>
        <w:ind w:firstLine="480"/>
        <w:jc w:val="both"/>
      </w:pPr>
      <w:r>
        <w:rPr>
          <w:rFonts w:ascii="Times New Roman" w:eastAsia="Microsoft YaHei"/>
          <w:color w:val="000000"/>
          <w:sz w:val="24"/>
          <w:szCs w:val="24"/>
        </w:rPr>
        <w:t xml:space="preserve">All API endpoints enforce role-based access control (RBAC) with three defined roles: Free User, Premium User, and Admin. The authorization middleware validates the Firebase Auth token from the request header, extracts the user's UID and subscription tier from the token's custom claims, and verifies that the requested resource or action is permitted for that role. Tier-specific feature access is enforced at the API gateway level before requests reach downstream services.</w:t>
      </w:r>
    </w:p>
    <w:p>
      <w:pPr>
        <w:pStyle w:val="Heading2"/>
        <w:spacing w:after="120" w:before="240"/>
      </w:pPr>
      <w:r>
        <w:rPr>
          <w:rFonts w:ascii="Times New Roman" w:eastAsia="SimHei"/>
          <w:b/>
          <w:bCs/>
          <w:color w:val="0A1628"/>
        </w:rPr>
        <w:t xml:space="preserve">2.3 Role Definitions</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tblGrid>
      <w:tr>
        <w:trPr>
          <w:cantSplit/>
          <w:tblHeader/>
        </w:trPr>
        <w:tc>
          <w:tcPr>
            <w:tcW w:type="pct" w:w="1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5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Permissions</w:t>
            </w:r>
          </w:p>
        </w:tc>
        <w:tc>
          <w:tcPr>
            <w:tcW w:type="pct" w:w="3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Enforcement</w:t>
            </w:r>
          </w:p>
        </w:tc>
      </w:tr>
      <w:tr>
        <w:trPr>
          <w:cantSplit/>
        </w:trPr>
        <w:tc>
          <w:tcPr>
            <w:tcW w:type="pct" w:w="15%"/>
            <w:tcMar>
              <w:top w:type="dxa" w:w="60"/>
              <w:left w:type="dxa" w:w="120"/>
              <w:bottom w:type="dxa" w:w="60"/>
              <w:right w:type="dxa" w:w="120"/>
            </w:tcMar>
          </w:tcPr>
          <w:p>
            <w:r>
              <w:rPr>
                <w:rFonts w:ascii="Times New Roman" w:eastAsia="Microsoft YaHei"/>
                <w:color w:val="000000"/>
                <w:sz w:val="21"/>
                <w:szCs w:val="21"/>
              </w:rPr>
              <w:t xml:space="preserve">Free User</w:t>
            </w:r>
          </w:p>
        </w:tc>
        <w:tc>
          <w:tcPr>
            <w:tcW w:type="pct" w:w="55%"/>
            <w:tcMar>
              <w:top w:type="dxa" w:w="60"/>
              <w:left w:type="dxa" w:w="120"/>
              <w:bottom w:type="dxa" w:w="60"/>
              <w:right w:type="dxa" w:w="120"/>
            </w:tcMar>
          </w:tcPr>
          <w:p>
            <w:r>
              <w:rPr>
                <w:rFonts w:ascii="Times New Roman" w:eastAsia="Microsoft YaHei"/>
                <w:color w:val="000000"/>
                <w:sz w:val="21"/>
                <w:szCs w:val="21"/>
              </w:rPr>
              <w:t xml:space="preserve">2 platform connections, basic feed, sound alerts, accept/decline</w:t>
            </w:r>
          </w:p>
        </w:tc>
        <w:tc>
          <w:tcPr>
            <w:tcW w:type="pct" w:w="30%"/>
            <w:tcMar>
              <w:top w:type="dxa" w:w="60"/>
              <w:left w:type="dxa" w:w="120"/>
              <w:bottom w:type="dxa" w:w="60"/>
              <w:right w:type="dxa" w:w="120"/>
            </w:tcMar>
          </w:tcPr>
          <w:p>
            <w:r>
              <w:rPr>
                <w:rFonts w:ascii="Times New Roman" w:eastAsia="Microsoft YaHei"/>
                <w:color w:val="000000"/>
                <w:sz w:val="21"/>
                <w:szCs w:val="21"/>
              </w:rPr>
              <w:t xml:space="preserve">API Gateway + Client</w:t>
            </w:r>
          </w:p>
        </w:tc>
      </w:tr>
      <w:tr>
        <w:trPr>
          <w:cantSplit/>
        </w:trPr>
        <w:tc>
          <w:tcPr>
            <w:tcW w:type="pct" w:w="15%"/>
            <w:tcMar>
              <w:top w:type="dxa" w:w="60"/>
              <w:left w:type="dxa" w:w="120"/>
              <w:bottom w:type="dxa" w:w="60"/>
              <w:right w:type="dxa" w:w="120"/>
            </w:tcMar>
          </w:tcPr>
          <w:p>
            <w:r>
              <w:rPr>
                <w:rFonts w:ascii="Times New Roman" w:eastAsia="Microsoft YaHei"/>
                <w:color w:val="000000"/>
                <w:sz w:val="21"/>
                <w:szCs w:val="21"/>
              </w:rPr>
              <w:t xml:space="preserve">Premium User</w:t>
            </w:r>
          </w:p>
        </w:tc>
        <w:tc>
          <w:tcPr>
            <w:tcW w:type="pct" w:w="55%"/>
            <w:tcMar>
              <w:top w:type="dxa" w:w="60"/>
              <w:left w:type="dxa" w:w="120"/>
              <w:bottom w:type="dxa" w:w="60"/>
              <w:right w:type="dxa" w:w="120"/>
            </w:tcMar>
          </w:tcPr>
          <w:p>
            <w:r>
              <w:rPr>
                <w:rFonts w:ascii="Times New Roman" w:eastAsia="Microsoft YaHei"/>
                <w:color w:val="000000"/>
                <w:sz w:val="21"/>
                <w:szCs w:val="21"/>
              </w:rPr>
              <w:t xml:space="preserve">Unlimited connections, smart ranking, auto-accept, voice alerts, earnings dashboard, ride-safe mode</w:t>
            </w:r>
          </w:p>
        </w:tc>
        <w:tc>
          <w:tcPr>
            <w:tcW w:type="pct" w:w="30%"/>
            <w:tcMar>
              <w:top w:type="dxa" w:w="60"/>
              <w:left w:type="dxa" w:w="120"/>
              <w:bottom w:type="dxa" w:w="60"/>
              <w:right w:type="dxa" w:w="120"/>
            </w:tcMar>
          </w:tcPr>
          <w:p>
            <w:r>
              <w:rPr>
                <w:rFonts w:ascii="Times New Roman" w:eastAsia="Microsoft YaHei"/>
                <w:color w:val="000000"/>
                <w:sz w:val="21"/>
                <w:szCs w:val="21"/>
              </w:rPr>
              <w:t xml:space="preserve">API Gateway + Client</w:t>
            </w:r>
          </w:p>
        </w:tc>
      </w:tr>
      <w:tr>
        <w:trPr>
          <w:cantSplit/>
        </w:trPr>
        <w:tc>
          <w:tcPr>
            <w:tcW w:type="pct" w:w="15%"/>
            <w:tcMar>
              <w:top w:type="dxa" w:w="60"/>
              <w:left w:type="dxa" w:w="120"/>
              <w:bottom w:type="dxa" w:w="60"/>
              <w:right w:type="dxa" w:w="120"/>
            </w:tcMar>
          </w:tcPr>
          <w:p>
            <w:r>
              <w:rPr>
                <w:rFonts w:ascii="Times New Roman" w:eastAsia="Microsoft YaHei"/>
                <w:color w:val="000000"/>
                <w:sz w:val="21"/>
                <w:szCs w:val="21"/>
              </w:rPr>
              <w:t xml:space="preserve">Admin</w:t>
            </w:r>
          </w:p>
        </w:tc>
        <w:tc>
          <w:tcPr>
            <w:tcW w:type="pct" w:w="55%"/>
            <w:tcMar>
              <w:top w:type="dxa" w:w="60"/>
              <w:left w:type="dxa" w:w="120"/>
              <w:bottom w:type="dxa" w:w="60"/>
              <w:right w:type="dxa" w:w="120"/>
            </w:tcMar>
          </w:tcPr>
          <w:p>
            <w:r>
              <w:rPr>
                <w:rFonts w:ascii="Times New Roman" w:eastAsia="Microsoft YaHei"/>
                <w:color w:val="000000"/>
                <w:sz w:val="21"/>
                <w:szCs w:val="21"/>
              </w:rPr>
              <w:t xml:space="preserve">User management, analytics, system configuration, support tools</w:t>
            </w:r>
          </w:p>
        </w:tc>
        <w:tc>
          <w:tcPr>
            <w:tcW w:type="pct" w:w="30%"/>
            <w:tcMar>
              <w:top w:type="dxa" w:w="60"/>
              <w:left w:type="dxa" w:w="120"/>
              <w:bottom w:type="dxa" w:w="60"/>
              <w:right w:type="dxa" w:w="120"/>
            </w:tcMar>
          </w:tcPr>
          <w:p>
            <w:r>
              <w:rPr>
                <w:rFonts w:ascii="Times New Roman" w:eastAsia="Microsoft YaHei"/>
                <w:color w:val="000000"/>
                <w:sz w:val="21"/>
                <w:szCs w:val="21"/>
              </w:rPr>
              <w:t xml:space="preserve">API Gateway + Admin Panel</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3. Data Protection</w:t>
      </w:r>
    </w:p>
    <w:p>
      <w:pPr>
        <w:pStyle w:val="Heading2"/>
        <w:spacing w:after="120" w:before="240"/>
      </w:pPr>
      <w:r>
        <w:rPr>
          <w:rFonts w:ascii="Times New Roman" w:eastAsia="SimHei"/>
          <w:b/>
          <w:bCs/>
          <w:color w:val="0A1628"/>
        </w:rPr>
        <w:t xml:space="preserve">3.1 Encryption at Rest</w:t>
      </w:r>
    </w:p>
    <w:p>
      <w:pPr>
        <w:spacing w:after="80" w:line="312"/>
        <w:ind w:firstLine="480"/>
        <w:jc w:val="both"/>
      </w:pPr>
      <w:r>
        <w:rPr>
          <w:rFonts w:ascii="Times New Roman" w:eastAsia="Microsoft YaHei"/>
          <w:color w:val="000000"/>
          <w:sz w:val="24"/>
          <w:szCs w:val="24"/>
        </w:rPr>
        <w:t xml:space="preserve">All user data stored in Firebase Realtime Database, Cloud Firestore, and Cloud Storage is encrypted at rest using AES-256 encryption, managed by Google Cloud's default encryption. For enhanced security, Customer-Managed Encryption Keys (CMEK) are used for the Cloud Firestore database containing user profiles and subscription data, providing an additional layer of control over data access.</w:t>
      </w:r>
    </w:p>
    <w:p>
      <w:pPr>
        <w:pStyle w:val="Heading2"/>
        <w:spacing w:after="120" w:before="240"/>
      </w:pPr>
      <w:r>
        <w:rPr>
          <w:rFonts w:ascii="Times New Roman" w:eastAsia="SimHei"/>
          <w:b/>
          <w:bCs/>
          <w:color w:val="0A1628"/>
        </w:rPr>
        <w:t xml:space="preserve">3.2 Encryption in Transit</w:t>
      </w:r>
    </w:p>
    <w:p>
      <w:pPr>
        <w:spacing w:after="80" w:line="312"/>
        <w:ind w:firstLine="480"/>
        <w:jc w:val="both"/>
      </w:pPr>
      <w:r>
        <w:rPr>
          <w:rFonts w:ascii="Times New Roman" w:eastAsia="Microsoft YaHei"/>
          <w:color w:val="000000"/>
          <w:sz w:val="24"/>
          <w:szCs w:val="24"/>
        </w:rPr>
        <w:t xml:space="preserve">All network communication uses TLS 1.3 with certificate pinning on the Android client. The Firebase SDK automatically encrypts all data in transit using HTTPS. The backend Cloud Run services communicate with each other over Google's internal network, which encrypts all traffic by default. Certificate pinning on the mobile client prevents man-in-the-middle attacks even if a compromised Certificate Authority issues fraudulent certificates.</w:t>
      </w:r>
    </w:p>
    <w:p>
      <w:pPr>
        <w:pStyle w:val="Heading2"/>
        <w:spacing w:after="120" w:before="240"/>
      </w:pPr>
      <w:r>
        <w:rPr>
          <w:rFonts w:ascii="Times New Roman" w:eastAsia="SimHei"/>
          <w:b/>
          <w:bCs/>
          <w:color w:val="0A1628"/>
        </w:rPr>
        <w:t xml:space="preserve">3.3 Sensitive Data Handling</w:t>
      </w:r>
    </w:p>
    <w:p>
      <w:pPr>
        <w:spacing w:after="80" w:line="312"/>
        <w:ind w:firstLine="480"/>
        <w:jc w:val="both"/>
      </w:pPr>
      <w:r>
        <w:rPr>
          <w:rFonts w:ascii="Times New Roman" w:eastAsia="Microsoft YaHei"/>
          <w:color w:val="000000"/>
          <w:sz w:val="24"/>
          <w:szCs w:val="24"/>
        </w:rPr>
        <w:t xml:space="preserve">Notification content from delivery platforms is classified as sensitive data. Raw notification text is never stored permanently; it is parsed into structured fields within 5 seconds and the original text is discarded. Location data is used only for ride-safe mode and is never stored or transmitted to the backend. Payment credentials are handled exclusively by Stripe and Google Play Billing and never touch DeliveryBoost servers.</w:t>
      </w:r>
    </w:p>
    <w:p>
      <w:pPr>
        <w:pStyle w:val="Heading1"/>
        <w:spacing w:after="120" w:before="240"/>
      </w:pPr>
      <w:r>
        <w:rPr>
          <w:rFonts w:ascii="Times New Roman" w:eastAsia="SimHei"/>
          <w:b/>
          <w:bCs/>
          <w:color w:val="0A1628"/>
        </w:rPr>
        <w:t xml:space="preserve">4. Notification Access Security</w:t>
      </w:r>
    </w:p>
    <w:p>
      <w:pPr>
        <w:spacing w:after="80" w:line="312"/>
        <w:ind w:firstLine="480"/>
        <w:jc w:val="both"/>
      </w:pPr>
      <w:r>
        <w:rPr>
          <w:rFonts w:ascii="Times New Roman" w:eastAsia="Microsoft YaHei"/>
          <w:color w:val="000000"/>
          <w:sz w:val="24"/>
          <w:szCs w:val="24"/>
        </w:rPr>
        <w:t xml:space="preserve">The Android NotificationListenerService requires explicit user permission that can only be granted through the Android Settings application, not programmatically. DeliveryBoost further secures notification access through several measures:</w:t>
      </w:r>
    </w:p>
    <w:p>
      <w:pPr>
        <w:pStyle w:val="ListParagraph"/>
        <w:numPr>
          <w:ilvl w:val="0"/>
          <w:numId w:val="2"/>
        </w:numPr>
        <w:spacing w:after="80" w:line="312"/>
      </w:pPr>
      <w:r>
        <w:rPr>
          <w:rFonts w:ascii="Times New Roman" w:eastAsia="Microsoft YaHei"/>
          <w:color w:val="000000"/>
          <w:sz w:val="24"/>
          <w:szCs w:val="24"/>
        </w:rPr>
        <w:t xml:space="preserve">The notification listener service runs in an isolated process with its own security context, preventing other app components from directly accessing notification data.</w:t>
      </w:r>
    </w:p>
    <w:p>
      <w:pPr>
        <w:pStyle w:val="ListParagraph"/>
        <w:numPr>
          <w:ilvl w:val="0"/>
          <w:numId w:val="2"/>
        </w:numPr>
        <w:spacing w:after="80" w:line="312"/>
      </w:pPr>
      <w:r>
        <w:rPr>
          <w:rFonts w:ascii="Times New Roman" w:eastAsia="Microsoft YaHei"/>
          <w:color w:val="000000"/>
          <w:sz w:val="24"/>
          <w:szCs w:val="24"/>
        </w:rPr>
        <w:t xml:space="preserve">Parsed notification data is encrypted with a device-specific key before being written to the local SQLite database.</w:t>
      </w:r>
    </w:p>
    <w:p>
      <w:pPr>
        <w:pStyle w:val="ListParagraph"/>
        <w:numPr>
          <w:ilvl w:val="0"/>
          <w:numId w:val="2"/>
        </w:numPr>
        <w:spacing w:after="80" w:line="312"/>
      </w:pPr>
      <w:r>
        <w:rPr>
          <w:rFonts w:ascii="Times New Roman" w:eastAsia="Microsoft YaHei"/>
          <w:color w:val="000000"/>
          <w:sz w:val="24"/>
          <w:szCs w:val="24"/>
        </w:rPr>
        <w:t xml:space="preserve">Notification data transmitted to the backend is encrypted using TLS 1.3 and additionally signed with a per-session HMAC key to prevent tampering.</w:t>
      </w:r>
    </w:p>
    <w:p>
      <w:pPr>
        <w:pStyle w:val="ListParagraph"/>
        <w:numPr>
          <w:ilvl w:val="0"/>
          <w:numId w:val="2"/>
        </w:numPr>
        <w:spacing w:after="80" w:line="312"/>
      </w:pPr>
      <w:r>
        <w:rPr>
          <w:rFonts w:ascii="Times New Roman" w:eastAsia="Microsoft YaHei"/>
          <w:color w:val="000000"/>
          <w:sz w:val="24"/>
          <w:szCs w:val="24"/>
        </w:rPr>
        <w:t xml:space="preserve">The user can revoke notification access at any time through Android Settings, which immediately stops the listener service and triggers a local data purge.</w:t>
      </w:r>
    </w:p>
    <w:p>
      <w:pPr>
        <w:pStyle w:val="Heading1"/>
        <w:spacing w:after="120" w:before="240"/>
      </w:pPr>
      <w:r>
        <w:rPr>
          <w:rFonts w:ascii="Times New Roman" w:eastAsia="SimHei"/>
          <w:b/>
          <w:bCs/>
          <w:color w:val="0A1628"/>
        </w:rPr>
        <w:t xml:space="preserve">5. Access Control Policies</w:t>
      </w:r>
    </w:p>
    <w:p>
      <w:pPr>
        <w:pStyle w:val="Heading2"/>
        <w:spacing w:after="120" w:before="240"/>
      </w:pPr>
      <w:r>
        <w:rPr>
          <w:rFonts w:ascii="Times New Roman" w:eastAsia="SimHei"/>
          <w:b/>
          <w:bCs/>
          <w:color w:val="0A1628"/>
        </w:rPr>
        <w:t xml:space="preserve">5.1 Network Access Controls</w:t>
      </w:r>
    </w:p>
    <w:p>
      <w:pPr>
        <w:spacing w:after="80" w:line="312"/>
        <w:ind w:firstLine="480"/>
        <w:jc w:val="both"/>
      </w:pPr>
      <w:r>
        <w:rPr>
          <w:rFonts w:ascii="Times New Roman" w:eastAsia="Microsoft YaHei"/>
          <w:color w:val="000000"/>
          <w:sz w:val="24"/>
          <w:szCs w:val="24"/>
        </w:rPr>
        <w:t xml:space="preserve">The backend infrastructure uses Google Cloud VPC with private service access for all internal communication. No Cloud Run service is directly accessible from the public internet; all external traffic flows through the Cloud Load Balancer with Cloud Armor protection. Cloud Armor rules enforce geographic restrictions, rate limiting, and OWASP Top 10 attack signature detection.</w:t>
      </w:r>
    </w:p>
    <w:p>
      <w:pPr>
        <w:pStyle w:val="Heading2"/>
        <w:spacing w:after="120" w:before="240"/>
      </w:pPr>
      <w:r>
        <w:rPr>
          <w:rFonts w:ascii="Times New Roman" w:eastAsia="SimHei"/>
          <w:b/>
          <w:bCs/>
          <w:color w:val="0A1628"/>
        </w:rPr>
        <w:t xml:space="preserve">5.2 Database Access Controls</w:t>
      </w:r>
    </w:p>
    <w:p>
      <w:pPr>
        <w:spacing w:after="80" w:line="312"/>
        <w:ind w:firstLine="480"/>
        <w:jc w:val="both"/>
      </w:pPr>
      <w:r>
        <w:rPr>
          <w:rFonts w:ascii="Times New Roman" w:eastAsia="Microsoft YaHei"/>
          <w:color w:val="000000"/>
          <w:sz w:val="24"/>
          <w:szCs w:val="24"/>
        </w:rPr>
        <w:t xml:space="preserve">Firebase Realtime Database and Cloud Firestore use security rules that enforce per-user data isolation. Users can only read and write data under their own UID path. Admin access is restricted to a dedicated service account used by backend services, with no individual developer having direct database access in production. All database access is logged through Google Cloud Audit Logs.</w:t>
      </w:r>
    </w:p>
    <w:p>
      <w:pPr>
        <w:pStyle w:val="Heading1"/>
        <w:spacing w:after="120" w:before="240"/>
      </w:pPr>
      <w:r>
        <w:rPr>
          <w:rFonts w:ascii="Times New Roman" w:eastAsia="SimHei"/>
          <w:b/>
          <w:bCs/>
          <w:color w:val="0A1628"/>
        </w:rPr>
        <w:t xml:space="preserve">6. Compliance and Privacy</w:t>
      </w:r>
    </w:p>
    <w:p>
      <w:pPr>
        <w:spacing w:after="80" w:line="312"/>
        <w:ind w:firstLine="480"/>
        <w:jc w:val="both"/>
      </w:pPr>
      <w:r>
        <w:rPr>
          <w:rFonts w:ascii="Times New Roman" w:eastAsia="Microsoft YaHei"/>
          <w:color w:val="000000"/>
          <w:sz w:val="24"/>
          <w:szCs w:val="24"/>
        </w:rPr>
        <w:t xml:space="preserve">DeliveryBoost complies with the California Consumer Privacy Act (CCPA). Users can request data deletion through the app's settings, which triggers a complete purge of all user data from Firebase, Firestore, and BigQuery within 30 days.</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tblGrid>
      <w:tr>
        <w:trPr>
          <w:cantSplit/>
          <w:tblHeader/>
        </w:trPr>
        <w:tc>
          <w:tcPr>
            <w:tcW w:type="pct" w:w="3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Data Type</w:t>
            </w:r>
          </w:p>
        </w:tc>
        <w:tc>
          <w:tcPr>
            <w:tcW w:type="pct" w:w="3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Retention</w:t>
            </w:r>
          </w:p>
        </w:tc>
        <w:tc>
          <w:tcPr>
            <w:tcW w:type="pct" w:w="4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Disposal Method</w:t>
            </w:r>
          </w:p>
        </w:tc>
      </w:tr>
      <w:tr>
        <w:trPr>
          <w:cantSplit/>
        </w:trPr>
        <w:tc>
          <w:tcPr>
            <w:tcW w:type="pct" w:w="30%"/>
            <w:tcMar>
              <w:top w:type="dxa" w:w="60"/>
              <w:left w:type="dxa" w:w="120"/>
              <w:bottom w:type="dxa" w:w="60"/>
              <w:right w:type="dxa" w:w="120"/>
            </w:tcMar>
          </w:tcPr>
          <w:p>
            <w:r>
              <w:rPr>
                <w:rFonts w:ascii="Times New Roman" w:eastAsia="Microsoft YaHei"/>
                <w:color w:val="000000"/>
                <w:sz w:val="21"/>
                <w:szCs w:val="21"/>
              </w:rPr>
              <w:t xml:space="preserve">Active Orders</w:t>
            </w:r>
          </w:p>
        </w:tc>
        <w:tc>
          <w:tcPr>
            <w:tcW w:type="pct" w:w="30%"/>
            <w:tcMar>
              <w:top w:type="dxa" w:w="60"/>
              <w:left w:type="dxa" w:w="120"/>
              <w:bottom w:type="dxa" w:w="60"/>
              <w:right w:type="dxa" w:w="120"/>
            </w:tcMar>
          </w:tcPr>
          <w:p>
            <w:r>
              <w:rPr>
                <w:rFonts w:ascii="Times New Roman" w:eastAsia="Microsoft YaHei"/>
                <w:color w:val="000000"/>
                <w:sz w:val="21"/>
                <w:szCs w:val="21"/>
              </w:rPr>
              <w:t xml:space="preserve">24 hours</w:t>
            </w:r>
          </w:p>
        </w:tc>
        <w:tc>
          <w:tcPr>
            <w:tcW w:type="pct" w:w="40%"/>
            <w:tcMar>
              <w:top w:type="dxa" w:w="60"/>
              <w:left w:type="dxa" w:w="120"/>
              <w:bottom w:type="dxa" w:w="60"/>
              <w:right w:type="dxa" w:w="120"/>
            </w:tcMar>
          </w:tcPr>
          <w:p>
            <w:r>
              <w:rPr>
                <w:rFonts w:ascii="Times New Roman" w:eastAsia="Microsoft YaHei"/>
                <w:color w:val="000000"/>
                <w:sz w:val="21"/>
                <w:szCs w:val="21"/>
              </w:rPr>
              <w:t xml:space="preserve">Automatic TTL in Firebase RTDB</w:t>
            </w:r>
          </w:p>
        </w:tc>
      </w:tr>
      <w:tr>
        <w:trPr>
          <w:cantSplit/>
        </w:trPr>
        <w:tc>
          <w:tcPr>
            <w:tcW w:type="pct" w:w="30%"/>
            <w:tcMar>
              <w:top w:type="dxa" w:w="60"/>
              <w:left w:type="dxa" w:w="120"/>
              <w:bottom w:type="dxa" w:w="60"/>
              <w:right w:type="dxa" w:w="120"/>
            </w:tcMar>
          </w:tcPr>
          <w:p>
            <w:r>
              <w:rPr>
                <w:rFonts w:ascii="Times New Roman" w:eastAsia="Microsoft YaHei"/>
                <w:color w:val="000000"/>
                <w:sz w:val="21"/>
                <w:szCs w:val="21"/>
              </w:rPr>
              <w:t xml:space="preserve">Earnings Records</w:t>
            </w:r>
          </w:p>
        </w:tc>
        <w:tc>
          <w:tcPr>
            <w:tcW w:type="pct" w:w="30%"/>
            <w:tcMar>
              <w:top w:type="dxa" w:w="60"/>
              <w:left w:type="dxa" w:w="120"/>
              <w:bottom w:type="dxa" w:w="60"/>
              <w:right w:type="dxa" w:w="120"/>
            </w:tcMar>
          </w:tcPr>
          <w:p>
            <w:r>
              <w:rPr>
                <w:rFonts w:ascii="Times New Roman" w:eastAsia="Microsoft YaHei"/>
                <w:color w:val="000000"/>
                <w:sz w:val="21"/>
                <w:szCs w:val="21"/>
              </w:rPr>
              <w:t xml:space="preserve">2 years</w:t>
            </w:r>
          </w:p>
        </w:tc>
        <w:tc>
          <w:tcPr>
            <w:tcW w:type="pct" w:w="40%"/>
            <w:tcMar>
              <w:top w:type="dxa" w:w="60"/>
              <w:left w:type="dxa" w:w="120"/>
              <w:bottom w:type="dxa" w:w="60"/>
              <w:right w:type="dxa" w:w="120"/>
            </w:tcMar>
          </w:tcPr>
          <w:p>
            <w:r>
              <w:rPr>
                <w:rFonts w:ascii="Times New Roman" w:eastAsia="Microsoft YaHei"/>
                <w:color w:val="000000"/>
                <w:sz w:val="21"/>
                <w:szCs w:val="21"/>
              </w:rPr>
              <w:t xml:space="preserve">Aggregated into BigQuery, raw deleted after 90 days</w:t>
            </w:r>
          </w:p>
        </w:tc>
      </w:tr>
      <w:tr>
        <w:trPr>
          <w:cantSplit/>
        </w:trPr>
        <w:tc>
          <w:tcPr>
            <w:tcW w:type="pct" w:w="30%"/>
            <w:tcMar>
              <w:top w:type="dxa" w:w="60"/>
              <w:left w:type="dxa" w:w="120"/>
              <w:bottom w:type="dxa" w:w="60"/>
              <w:right w:type="dxa" w:w="120"/>
            </w:tcMar>
          </w:tcPr>
          <w:p>
            <w:r>
              <w:rPr>
                <w:rFonts w:ascii="Times New Roman" w:eastAsia="Microsoft YaHei"/>
                <w:color w:val="000000"/>
                <w:sz w:val="21"/>
                <w:szCs w:val="21"/>
              </w:rPr>
              <w:t xml:space="preserve">User Profiles</w:t>
            </w:r>
          </w:p>
        </w:tc>
        <w:tc>
          <w:tcPr>
            <w:tcW w:type="pct" w:w="30%"/>
            <w:tcMar>
              <w:top w:type="dxa" w:w="60"/>
              <w:left w:type="dxa" w:w="120"/>
              <w:bottom w:type="dxa" w:w="60"/>
              <w:right w:type="dxa" w:w="120"/>
            </w:tcMar>
          </w:tcPr>
          <w:p>
            <w:r>
              <w:rPr>
                <w:rFonts w:ascii="Times New Roman" w:eastAsia="Microsoft YaHei"/>
                <w:color w:val="000000"/>
                <w:sz w:val="21"/>
                <w:szCs w:val="21"/>
              </w:rPr>
              <w:t xml:space="preserve">Until account deletion</w:t>
            </w:r>
          </w:p>
        </w:tc>
        <w:tc>
          <w:tcPr>
            <w:tcW w:type="pct" w:w="40%"/>
            <w:tcMar>
              <w:top w:type="dxa" w:w="60"/>
              <w:left w:type="dxa" w:w="120"/>
              <w:bottom w:type="dxa" w:w="60"/>
              <w:right w:type="dxa" w:w="120"/>
            </w:tcMar>
          </w:tcPr>
          <w:p>
            <w:r>
              <w:rPr>
                <w:rFonts w:ascii="Times New Roman" w:eastAsia="Microsoft YaHei"/>
                <w:color w:val="000000"/>
                <w:sz w:val="21"/>
                <w:szCs w:val="21"/>
              </w:rPr>
              <w:t xml:space="preserve">Manual deletion on user request</w:t>
            </w:r>
          </w:p>
        </w:tc>
      </w:tr>
      <w:tr>
        <w:trPr>
          <w:cantSplit/>
        </w:trPr>
        <w:tc>
          <w:tcPr>
            <w:tcW w:type="pct" w:w="30%"/>
            <w:tcMar>
              <w:top w:type="dxa" w:w="60"/>
              <w:left w:type="dxa" w:w="120"/>
              <w:bottom w:type="dxa" w:w="60"/>
              <w:right w:type="dxa" w:w="120"/>
            </w:tcMar>
          </w:tcPr>
          <w:p>
            <w:r>
              <w:rPr>
                <w:rFonts w:ascii="Times New Roman" w:eastAsia="Microsoft YaHei"/>
                <w:color w:val="000000"/>
                <w:sz w:val="21"/>
                <w:szCs w:val="21"/>
              </w:rPr>
              <w:t xml:space="preserve">Notification Raw Text</w:t>
            </w:r>
          </w:p>
        </w:tc>
        <w:tc>
          <w:tcPr>
            <w:tcW w:type="pct" w:w="30%"/>
            <w:tcMar>
              <w:top w:type="dxa" w:w="60"/>
              <w:left w:type="dxa" w:w="120"/>
              <w:bottom w:type="dxa" w:w="60"/>
              <w:right w:type="dxa" w:w="120"/>
            </w:tcMar>
          </w:tcPr>
          <w:p>
            <w:r>
              <w:rPr>
                <w:rFonts w:ascii="Times New Roman" w:eastAsia="Microsoft YaHei"/>
                <w:color w:val="000000"/>
                <w:sz w:val="21"/>
                <w:szCs w:val="21"/>
              </w:rPr>
              <w:t xml:space="preserve">5 seconds</w:t>
            </w:r>
          </w:p>
        </w:tc>
        <w:tc>
          <w:tcPr>
            <w:tcW w:type="pct" w:w="40%"/>
            <w:tcMar>
              <w:top w:type="dxa" w:w="60"/>
              <w:left w:type="dxa" w:w="120"/>
              <w:bottom w:type="dxa" w:w="60"/>
              <w:right w:type="dxa" w:w="120"/>
            </w:tcMar>
          </w:tcPr>
          <w:p>
            <w:r>
              <w:rPr>
                <w:rFonts w:ascii="Times New Roman" w:eastAsia="Microsoft YaHei"/>
                <w:color w:val="000000"/>
                <w:sz w:val="21"/>
                <w:szCs w:val="21"/>
              </w:rPr>
              <w:t xml:space="preserve">Purged immediately after parsing</w:t>
            </w:r>
          </w:p>
        </w:tc>
      </w:tr>
      <w:tr>
        <w:trPr>
          <w:cantSplit/>
        </w:trPr>
        <w:tc>
          <w:tcPr>
            <w:tcW w:type="pct" w:w="30%"/>
            <w:tcMar>
              <w:top w:type="dxa" w:w="60"/>
              <w:left w:type="dxa" w:w="120"/>
              <w:bottom w:type="dxa" w:w="60"/>
              <w:right w:type="dxa" w:w="120"/>
            </w:tcMar>
          </w:tcPr>
          <w:p>
            <w:r>
              <w:rPr>
                <w:rFonts w:ascii="Times New Roman" w:eastAsia="Microsoft YaHei"/>
                <w:color w:val="000000"/>
                <w:sz w:val="21"/>
                <w:szCs w:val="21"/>
              </w:rPr>
              <w:t xml:space="preserve">Audit Logs</w:t>
            </w:r>
          </w:p>
        </w:tc>
        <w:tc>
          <w:tcPr>
            <w:tcW w:type="pct" w:w="30%"/>
            <w:tcMar>
              <w:top w:type="dxa" w:w="60"/>
              <w:left w:type="dxa" w:w="120"/>
              <w:bottom w:type="dxa" w:w="60"/>
              <w:right w:type="dxa" w:w="120"/>
            </w:tcMar>
          </w:tcPr>
          <w:p>
            <w:r>
              <w:rPr>
                <w:rFonts w:ascii="Times New Roman" w:eastAsia="Microsoft YaHei"/>
                <w:color w:val="000000"/>
                <w:sz w:val="21"/>
                <w:szCs w:val="21"/>
              </w:rPr>
              <w:t xml:space="preserve">1 year</w:t>
            </w:r>
          </w:p>
        </w:tc>
        <w:tc>
          <w:tcPr>
            <w:tcW w:type="pct" w:w="40%"/>
            <w:tcMar>
              <w:top w:type="dxa" w:w="60"/>
              <w:left w:type="dxa" w:w="120"/>
              <w:bottom w:type="dxa" w:w="60"/>
              <w:right w:type="dxa" w:w="120"/>
            </w:tcMar>
          </w:tcPr>
          <w:p>
            <w:r>
              <w:rPr>
                <w:rFonts w:ascii="Times New Roman" w:eastAsia="Microsoft YaHei"/>
                <w:color w:val="000000"/>
                <w:sz w:val="21"/>
                <w:szCs w:val="21"/>
              </w:rPr>
              <w:t xml:space="preserve">Cloud Audit Logs auto-deletion policy</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7. Incident Response</w:t>
      </w:r>
    </w:p>
    <w:p>
      <w:pPr>
        <w:spacing w:after="80" w:line="312"/>
        <w:ind w:firstLine="480"/>
        <w:jc w:val="both"/>
      </w:pPr>
      <w:r>
        <w:rPr>
          <w:rFonts w:ascii="Times New Roman" w:eastAsia="Microsoft YaHei"/>
          <w:color w:val="000000"/>
          <w:sz w:val="24"/>
          <w:szCs w:val="24"/>
        </w:rPr>
        <w:t xml:space="preserve">The incident response plan defines a four-phase approach: Detection (automated alerts from Sentry and Cloud Armor), Containment (isolate affected service, update Cloud Armor rules), Recovery (redeploy from last known good image, rotate credentials, audit logs), and Post-Incident (blameless post-mortem within 48 hours, published incident report, corrective actions implemented).</w:t>
      </w:r>
    </w:p>
    <w:p>
      <w:pPr>
        <w:pStyle w:val="Heading1"/>
        <w:spacing w:after="120" w:before="240"/>
      </w:pPr>
      <w:r>
        <w:rPr>
          <w:rFonts w:ascii="Times New Roman" w:eastAsia="SimHei"/>
          <w:b/>
          <w:bCs/>
          <w:color w:val="0A1628"/>
        </w:rPr>
        <w:t xml:space="preserve">8. Security Testing</w:t>
      </w:r>
    </w:p>
    <w:p>
      <w:pPr>
        <w:spacing w:after="80" w:line="312"/>
        <w:ind w:firstLine="480"/>
        <w:jc w:val="both"/>
      </w:pPr>
      <w:r>
        <w:rPr>
          <w:rFonts w:ascii="Times New Roman" w:eastAsia="Microsoft YaHei"/>
          <w:color w:val="000000"/>
          <w:sz w:val="24"/>
          <w:szCs w:val="24"/>
        </w:rPr>
        <w:t xml:space="preserve">Security testing is integrated into the development lifecycle at multiple levels. SAST runs on every pull request using SonarQube. DAST runs weekly against staging using OWASP ZAP. Penetration testing is conducted quarterly by a third-party security firm, with the first engagement scheduled before public launch. Dependency scanning runs daily through Dependabot and Snyk, with critical vulnerabilities requiring patching within 24 hours.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DeliveryBoost Security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2026-06-07T10:10:54.049Z</dcterms:created>
  <dcterms:modified xsi:type="dcterms:W3CDTF">2026-06-07T10:10:54.049Z</dcterms:modified>
</cp:coreProperties>
</file>

<file path=docProps/custom.xml><?xml version="1.0" encoding="utf-8"?>
<Properties xmlns="http://schemas.openxmlformats.org/officeDocument/2006/custom-properties" xmlns:vt="http://schemas.openxmlformats.org/officeDocument/2006/docPropsVTypes"/>
</file>