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4200" w:hRule="exact"/>
        </w:trPr>
        <w:tc>
          <w:tcPr>
            <w:tcBorders>
              <w:top w:val="none" w:color="FFFFFF" w:sz="0"/>
              <w:left w:val="none" w:color="FFFFFF" w:sz="0"/>
              <w:bottom w:val="none" w:color="FFFFFF" w:sz="0"/>
              <w:right w:val="none" w:color="FFFFFF" w:sz="0"/>
            </w:tcBorders>
            <w:shd w:fill="0A1628" w:val="clear"/>
            <w:vAlign w:val="top"/>
          </w:tcPr>
          <w:p>
            <w:pPr>
              <w:spacing w:before="1800"/>
              <w:jc w:val="center"/>
            </w:pPr>
            <w:r>
              <w:rPr>
                <w:rFonts w:ascii="Times New Roman" w:eastAsia="SimHei"/>
                <w:b/>
                <w:bCs/>
                <w:color w:val="FFFFFF"/>
                <w:sz w:val="60"/>
                <w:szCs w:val="60"/>
              </w:rPr>
              <w:t xml:space="preserve">DeliveryBoost</w:t>
            </w:r>
          </w:p>
          <w:p>
            <w:pPr>
              <w:spacing w:before="200"/>
              <w:jc w:val="center"/>
            </w:pPr>
            <w:r>
              <w:rPr>
                <w:rFonts w:ascii="Times New Roman"/>
                <w:color w:val="B0B8C0"/>
                <w:sz w:val="32"/>
                <w:szCs w:val="32"/>
              </w:rPr>
              <w:t xml:space="preserve">Technical Architecture Document</w:t>
            </w:r>
          </w:p>
        </w:tc>
      </w:tr>
      <w:tr>
        <w:trPr>
          <w:trHeight w:val="12638" w:hRule="exact"/>
        </w:trPr>
        <w:tc>
          <w:tcPr>
            <w:tcBorders>
              <w:top w:val="none" w:color="FFFFFF" w:sz="0"/>
              <w:left w:val="none" w:color="FFFFFF" w:sz="0"/>
              <w:bottom w:val="none" w:color="FFFFFF" w:sz="0"/>
              <w:right w:val="none" w:color="FFFFFF" w:sz="0"/>
            </w:tcBorders>
            <w:vAlign w:val="top"/>
          </w:tcPr>
          <w:p>
            <w:pPr>
              <w:spacing w:before="2400"/>
              <w:jc w:val="center"/>
            </w:pPr>
            <w:r>
              <w:rPr>
                <w:rFonts w:ascii="Times New Roman"/>
                <w:color w:val="6878A0"/>
                <w:sz w:val="24"/>
                <w:szCs w:val="24"/>
              </w:rPr>
              <w:t xml:space="preserve">Version 1.0</w:t>
            </w:r>
          </w:p>
          <w:p>
            <w:pPr>
              <w:jc w:val="center"/>
            </w:pPr>
            <w:r>
              <w:rPr>
                <w:rFonts w:ascii="Times New Roman"/>
                <w:color w:val="6878A0"/>
                <w:sz w:val="24"/>
                <w:szCs w:val="24"/>
              </w:rPr>
              <w:t xml:space="preserve">Date: June 7, 2026</w:t>
            </w:r>
          </w:p>
          <w:p>
            <w:pPr>
              <w:jc w:val="center"/>
            </w:pPr>
            <w:r>
              <w:rPr>
                <w:rFonts w:ascii="Times New Roman"/>
                <w:color w:val="6878A0"/>
                <w:sz w:val="24"/>
                <w:szCs w:val="24"/>
              </w:rPr>
              <w:t xml:space="preserve">Author: Yashas K Gangatkar</w:t>
            </w:r>
          </w:p>
        </w:tc>
      </w:tr>
    </w:tbl>
    <w:p>
      <w:pPr>
        <w:sectPr>
          <w:pgSz w:w="11906" w:h="16838" w:orient="portrait"/>
          <w:pgMar w:top="0" w:right="0" w:bottom="0" w:left="0" w:header="708" w:footer="708" w:gutter="0"/>
          <w:pgNumType/>
          <w:docGrid w:linePitch="360"/>
        </w:sectPr>
      </w:pPr>
    </w:p>
    <w:p>
      <w:pPr>
        <w:pStyle w:val="Heading1"/>
        <w:spacing w:after="120" w:before="240"/>
      </w:pPr>
      <w:r>
        <w:rPr>
          <w:rFonts w:ascii="Times New Roman" w:eastAsia="SimHei"/>
          <w:b/>
          <w:bCs/>
          <w:color w:val="0A1628"/>
        </w:rPr>
        <w:t xml:space="preserve">1. System Overview</w:t>
      </w:r>
    </w:p>
    <w:p>
      <w:pPr>
        <w:spacing w:after="80" w:line="312"/>
        <w:ind w:firstLine="480"/>
        <w:jc w:val="both"/>
      </w:pPr>
      <w:r>
        <w:rPr>
          <w:rFonts w:ascii="Times New Roman" w:eastAsia="Microsoft YaHei"/>
          <w:color w:val="000000"/>
          <w:sz w:val="24"/>
          <w:szCs w:val="24"/>
        </w:rPr>
        <w:t xml:space="preserve">DeliveryBoost follows a mobile-first architecture with a cloud-native backend designed for real-time notification processing at scale. The system is composed of four primary layers: the Android client application, the API gateway and backend services, the data persistence layer, and the notification processing pipeline. Each layer is designed for horizontal scalability, fault isolation, and independent deployment to support rapid iteration and zero-downtime updates.</w:t>
      </w:r>
    </w:p>
    <w:p>
      <w:pPr>
        <w:spacing w:after="80" w:line="312"/>
        <w:ind w:firstLine="480"/>
        <w:jc w:val="both"/>
      </w:pPr>
      <w:r>
        <w:rPr>
          <w:rFonts w:ascii="Times New Roman" w:eastAsia="Microsoft YaHei"/>
          <w:color w:val="000000"/>
          <w:sz w:val="24"/>
          <w:szCs w:val="24"/>
        </w:rPr>
        <w:t xml:space="preserve">The Android application serves as the primary user interface and notification collection point. It leverages the Android NotificationListenerService API to intercept incoming delivery platform notifications, parse their content, and forward structured data to the backend for processing. The backend services are built on a microservices architecture running on Google Cloud Platform (GCP), with Firebase providing real-time data synchronization between the server and client applications.</w:t>
      </w:r>
    </w:p>
    <w:p>
      <w:pPr>
        <w:pStyle w:val="Heading1"/>
        <w:spacing w:after="120" w:before="240"/>
      </w:pPr>
      <w:r>
        <w:rPr>
          <w:rFonts w:ascii="Times New Roman" w:eastAsia="SimHei"/>
          <w:b/>
          <w:bCs/>
          <w:color w:val="0A1628"/>
        </w:rPr>
        <w:t xml:space="preserve">2. Architecture Diagram Description</w:t>
      </w:r>
    </w:p>
    <w:p>
      <w:pPr>
        <w:spacing w:after="80" w:line="312"/>
        <w:ind w:firstLine="480"/>
        <w:jc w:val="both"/>
      </w:pPr>
      <w:r>
        <w:rPr>
          <w:rFonts w:ascii="Times New Roman" w:eastAsia="Microsoft YaHei"/>
          <w:color w:val="000000"/>
          <w:sz w:val="24"/>
          <w:szCs w:val="24"/>
        </w:rPr>
        <w:t xml:space="preserve">The system architecture follows a layered pattern with clear separation of concerns. At the top layer, the Android Client runs on the driver's device, containing the UI components built with React Native for cross-platform future compatibility, the Notification Listener Service for system-level notification interception, a local SQLite database for offline caching and rapid access to recent orders, and the Firebase Realtime Database SDK for instant data synchronization with the cloud backend.</w:t>
      </w:r>
    </w:p>
    <w:p>
      <w:pPr>
        <w:spacing w:after="80" w:line="312"/>
        <w:ind w:firstLine="480"/>
        <w:jc w:val="both"/>
      </w:pPr>
      <w:r>
        <w:rPr>
          <w:rFonts w:ascii="Times New Roman" w:eastAsia="Microsoft YaHei"/>
          <w:color w:val="000000"/>
          <w:sz w:val="24"/>
          <w:szCs w:val="24"/>
        </w:rPr>
        <w:t xml:space="preserve">The middle layer consists of the Cloud Backend deployed on GCP Cloud Run for auto-scaling containerized services. This includes the Notification Processing Service which receives, validates, and enriches raw notification data; the Order Ranking Engine which applies machine learning models to score and prioritize incoming orders; the User Management Service handling authentication, subscription status, and platform connections; and the Earnings Analytics Service aggregating driver earnings data across platforms for dashboard display.</w:t>
      </w:r>
    </w:p>
    <w:p>
      <w:pPr>
        <w:spacing w:after="80" w:line="312"/>
        <w:ind w:firstLine="480"/>
        <w:jc w:val="both"/>
      </w:pPr>
      <w:r>
        <w:rPr>
          <w:rFonts w:ascii="Times New Roman" w:eastAsia="Microsoft YaHei"/>
          <w:color w:val="000000"/>
          <w:sz w:val="24"/>
          <w:szCs w:val="24"/>
        </w:rPr>
        <w:t xml:space="preserve">The bottom layer encompasses the Data Persistence tier using Firebase Realtime Database for real-time order feed synchronization, Cloud Firestore for user profiles and settings, and BigQuery for historical analytics and ML training data. External integrations connect to the five delivery platforms through their notification systems, Stripe for payment processing, and Google Play Billing for in-app subscriptions.</w:t>
      </w:r>
    </w:p>
    <w:p>
      <w:pPr>
        <w:pStyle w:val="Heading1"/>
        <w:spacing w:after="120" w:before="240"/>
      </w:pPr>
      <w:r>
        <w:rPr>
          <w:rFonts w:ascii="Times New Roman" w:eastAsia="SimHei"/>
          <w:b/>
          <w:bCs/>
          <w:color w:val="0A1628"/>
        </w:rPr>
        <w:t xml:space="preserve">3. Technology Stack</w:t>
      </w:r>
    </w:p>
    <w:tbl>
      <w:tblPr>
        <w:tblW w:type="pct" w:w="100%"/>
        <w:tblBorders>
          <w:top w:val="single" w:color="2A6B8A" w:sz="2"/>
          <w:left w:val="none" w:color="FFFFFF" w:sz="0"/>
          <w:bottom w:val="single" w:color="2A6B8A" w:sz="2"/>
          <w:right w:val="none" w:color="FFFFFF" w:sz="0"/>
          <w:insideH w:val="single" w:color="D0DDE8" w:sz="1"/>
          <w:insideV w:val="none" w:color="FFFFFF" w:sz="0"/>
        </w:tblBorders>
      </w:tblPr>
      <w:tblGrid>
        <w:gridCol w:w="100"/>
        <w:gridCol w:w="100"/>
        <w:gridCol w:w="100"/>
      </w:tblGrid>
      <w:tr>
        <w:trPr>
          <w:cantSplit/>
          <w:tblHeader/>
        </w:trPr>
        <w:tc>
          <w:tcPr>
            <w:tcW w:type="pct" w:w="20%"/>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Layer</w:t>
            </w:r>
          </w:p>
        </w:tc>
        <w:tc>
          <w:tcPr>
            <w:tcW w:type="pct" w:w="30%"/>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Technology</w:t>
            </w:r>
          </w:p>
        </w:tc>
        <w:tc>
          <w:tcPr>
            <w:tcW w:type="pct" w:w="50%"/>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Purpose</w:t>
            </w:r>
          </w:p>
        </w:tc>
      </w:tr>
      <w:tr>
        <w:trPr>
          <w:cantSplit/>
        </w:trPr>
        <w:tc>
          <w:tcPr>
            <w:tcW w:type="pct" w:w="20%"/>
            <w:tcMar>
              <w:top w:type="dxa" w:w="60"/>
              <w:left w:type="dxa" w:w="120"/>
              <w:bottom w:type="dxa" w:w="60"/>
              <w:right w:type="dxa" w:w="120"/>
            </w:tcMar>
          </w:tcPr>
          <w:p>
            <w:r>
              <w:rPr>
                <w:rFonts w:ascii="Times New Roman" w:eastAsia="Microsoft YaHei"/>
                <w:color w:val="000000"/>
                <w:sz w:val="21"/>
                <w:szCs w:val="21"/>
              </w:rPr>
              <w:t xml:space="preserve">Mobile Client</w:t>
            </w:r>
          </w:p>
        </w:tc>
        <w:tc>
          <w:tcPr>
            <w:tcW w:type="pct" w:w="30%"/>
            <w:tcMar>
              <w:top w:type="dxa" w:w="60"/>
              <w:left w:type="dxa" w:w="120"/>
              <w:bottom w:type="dxa" w:w="60"/>
              <w:right w:type="dxa" w:w="120"/>
            </w:tcMar>
          </w:tcPr>
          <w:p>
            <w:r>
              <w:rPr>
                <w:rFonts w:ascii="Times New Roman" w:eastAsia="Microsoft YaHei"/>
                <w:color w:val="000000"/>
                <w:sz w:val="21"/>
                <w:szCs w:val="21"/>
              </w:rPr>
              <w:t xml:space="preserve">React Native (Android-first)</w:t>
            </w:r>
          </w:p>
        </w:tc>
        <w:tc>
          <w:tcPr>
            <w:tcW w:type="pct" w:w="50%"/>
            <w:tcMar>
              <w:top w:type="dxa" w:w="60"/>
              <w:left w:type="dxa" w:w="120"/>
              <w:bottom w:type="dxa" w:w="60"/>
              <w:right w:type="dxa" w:w="120"/>
            </w:tcMar>
          </w:tcPr>
          <w:p>
            <w:r>
              <w:rPr>
                <w:rFonts w:ascii="Times New Roman" w:eastAsia="Microsoft YaHei"/>
                <w:color w:val="000000"/>
                <w:sz w:val="21"/>
                <w:szCs w:val="21"/>
              </w:rPr>
              <w:t xml:space="preserve">Cross-platform mobile UI with native notification access</w:t>
            </w:r>
          </w:p>
        </w:tc>
      </w:tr>
      <w:tr>
        <w:trPr>
          <w:cantSplit/>
        </w:trPr>
        <w:tc>
          <w:tcPr>
            <w:tcW w:type="pct" w:w="20%"/>
            <w:tcMar>
              <w:top w:type="dxa" w:w="60"/>
              <w:left w:type="dxa" w:w="120"/>
              <w:bottom w:type="dxa" w:w="60"/>
              <w:right w:type="dxa" w:w="120"/>
            </w:tcMar>
          </w:tcPr>
          <w:p>
            <w:r>
              <w:rPr>
                <w:rFonts w:ascii="Times New Roman" w:eastAsia="Microsoft YaHei"/>
                <w:color w:val="000000"/>
                <w:sz w:val="21"/>
                <w:szCs w:val="21"/>
              </w:rPr>
              <w:t xml:space="preserve">State Management</w:t>
            </w:r>
          </w:p>
        </w:tc>
        <w:tc>
          <w:tcPr>
            <w:tcW w:type="pct" w:w="30%"/>
            <w:tcMar>
              <w:top w:type="dxa" w:w="60"/>
              <w:left w:type="dxa" w:w="120"/>
              <w:bottom w:type="dxa" w:w="60"/>
              <w:right w:type="dxa" w:w="120"/>
            </w:tcMar>
          </w:tcPr>
          <w:p>
            <w:r>
              <w:rPr>
                <w:rFonts w:ascii="Times New Roman" w:eastAsia="Microsoft YaHei"/>
                <w:color w:val="000000"/>
                <w:sz w:val="21"/>
                <w:szCs w:val="21"/>
              </w:rPr>
              <w:t xml:space="preserve">Redux + Redux Thunk</w:t>
            </w:r>
          </w:p>
        </w:tc>
        <w:tc>
          <w:tcPr>
            <w:tcW w:type="pct" w:w="50%"/>
            <w:tcMar>
              <w:top w:type="dxa" w:w="60"/>
              <w:left w:type="dxa" w:w="120"/>
              <w:bottom w:type="dxa" w:w="60"/>
              <w:right w:type="dxa" w:w="120"/>
            </w:tcMar>
          </w:tcPr>
          <w:p>
            <w:r>
              <w:rPr>
                <w:rFonts w:ascii="Times New Roman" w:eastAsia="Microsoft YaHei"/>
                <w:color w:val="000000"/>
                <w:sz w:val="21"/>
                <w:szCs w:val="21"/>
              </w:rPr>
              <w:t xml:space="preserve">Predictable state container with async middleware</w:t>
            </w:r>
          </w:p>
        </w:tc>
      </w:tr>
      <w:tr>
        <w:trPr>
          <w:cantSplit/>
        </w:trPr>
        <w:tc>
          <w:tcPr>
            <w:tcW w:type="pct" w:w="20%"/>
            <w:tcMar>
              <w:top w:type="dxa" w:w="60"/>
              <w:left w:type="dxa" w:w="120"/>
              <w:bottom w:type="dxa" w:w="60"/>
              <w:right w:type="dxa" w:w="120"/>
            </w:tcMar>
          </w:tcPr>
          <w:p>
            <w:r>
              <w:rPr>
                <w:rFonts w:ascii="Times New Roman" w:eastAsia="Microsoft YaHei"/>
                <w:color w:val="000000"/>
                <w:sz w:val="21"/>
                <w:szCs w:val="21"/>
              </w:rPr>
              <w:t xml:space="preserve">Backend API</w:t>
            </w:r>
          </w:p>
        </w:tc>
        <w:tc>
          <w:tcPr>
            <w:tcW w:type="pct" w:w="30%"/>
            <w:tcMar>
              <w:top w:type="dxa" w:w="60"/>
              <w:left w:type="dxa" w:w="120"/>
              <w:bottom w:type="dxa" w:w="60"/>
              <w:right w:type="dxa" w:w="120"/>
            </w:tcMar>
          </w:tcPr>
          <w:p>
            <w:r>
              <w:rPr>
                <w:rFonts w:ascii="Times New Roman" w:eastAsia="Microsoft YaHei"/>
                <w:color w:val="000000"/>
                <w:sz w:val="21"/>
                <w:szCs w:val="21"/>
              </w:rPr>
              <w:t xml:space="preserve">Node.js + Express on Cloud Run</w:t>
            </w:r>
          </w:p>
        </w:tc>
        <w:tc>
          <w:tcPr>
            <w:tcW w:type="pct" w:w="50%"/>
            <w:tcMar>
              <w:top w:type="dxa" w:w="60"/>
              <w:left w:type="dxa" w:w="120"/>
              <w:bottom w:type="dxa" w:w="60"/>
              <w:right w:type="dxa" w:w="120"/>
            </w:tcMar>
          </w:tcPr>
          <w:p>
            <w:r>
              <w:rPr>
                <w:rFonts w:ascii="Times New Roman" w:eastAsia="Microsoft YaHei"/>
                <w:color w:val="000000"/>
                <w:sz w:val="21"/>
                <w:szCs w:val="21"/>
              </w:rPr>
              <w:t xml:space="preserve">RESTful API with auto-scaling containers</w:t>
            </w:r>
          </w:p>
        </w:tc>
      </w:tr>
      <w:tr>
        <w:trPr>
          <w:cantSplit/>
        </w:trPr>
        <w:tc>
          <w:tcPr>
            <w:tcW w:type="pct" w:w="20%"/>
            <w:tcMar>
              <w:top w:type="dxa" w:w="60"/>
              <w:left w:type="dxa" w:w="120"/>
              <w:bottom w:type="dxa" w:w="60"/>
              <w:right w:type="dxa" w:w="120"/>
            </w:tcMar>
          </w:tcPr>
          <w:p>
            <w:r>
              <w:rPr>
                <w:rFonts w:ascii="Times New Roman" w:eastAsia="Microsoft YaHei"/>
                <w:color w:val="000000"/>
                <w:sz w:val="21"/>
                <w:szCs w:val="21"/>
              </w:rPr>
              <w:t xml:space="preserve">Real-Time Sync</w:t>
            </w:r>
          </w:p>
        </w:tc>
        <w:tc>
          <w:tcPr>
            <w:tcW w:type="pct" w:w="30%"/>
            <w:tcMar>
              <w:top w:type="dxa" w:w="60"/>
              <w:left w:type="dxa" w:w="120"/>
              <w:bottom w:type="dxa" w:w="60"/>
              <w:right w:type="dxa" w:w="120"/>
            </w:tcMar>
          </w:tcPr>
          <w:p>
            <w:r>
              <w:rPr>
                <w:rFonts w:ascii="Times New Roman" w:eastAsia="Microsoft YaHei"/>
                <w:color w:val="000000"/>
                <w:sz w:val="21"/>
                <w:szCs w:val="21"/>
              </w:rPr>
              <w:t xml:space="preserve">Firebase Realtime Database</w:t>
            </w:r>
          </w:p>
        </w:tc>
        <w:tc>
          <w:tcPr>
            <w:tcW w:type="pct" w:w="50%"/>
            <w:tcMar>
              <w:top w:type="dxa" w:w="60"/>
              <w:left w:type="dxa" w:w="120"/>
              <w:bottom w:type="dxa" w:w="60"/>
              <w:right w:type="dxa" w:w="120"/>
            </w:tcMar>
          </w:tcPr>
          <w:p>
            <w:r>
              <w:rPr>
                <w:rFonts w:ascii="Times New Roman" w:eastAsia="Microsoft YaHei"/>
                <w:color w:val="000000"/>
                <w:sz w:val="21"/>
                <w:szCs w:val="21"/>
              </w:rPr>
              <w:t xml:space="preserve">Sub-second order feed updates to client</w:t>
            </w:r>
          </w:p>
        </w:tc>
      </w:tr>
      <w:tr>
        <w:trPr>
          <w:cantSplit/>
        </w:trPr>
        <w:tc>
          <w:tcPr>
            <w:tcW w:type="pct" w:w="20%"/>
            <w:tcMar>
              <w:top w:type="dxa" w:w="60"/>
              <w:left w:type="dxa" w:w="120"/>
              <w:bottom w:type="dxa" w:w="60"/>
              <w:right w:type="dxa" w:w="120"/>
            </w:tcMar>
          </w:tcPr>
          <w:p>
            <w:r>
              <w:rPr>
                <w:rFonts w:ascii="Times New Roman" w:eastAsia="Microsoft YaHei"/>
                <w:color w:val="000000"/>
                <w:sz w:val="21"/>
                <w:szCs w:val="21"/>
              </w:rPr>
              <w:t xml:space="preserve">User Data</w:t>
            </w:r>
          </w:p>
        </w:tc>
        <w:tc>
          <w:tcPr>
            <w:tcW w:type="pct" w:w="30%"/>
            <w:tcMar>
              <w:top w:type="dxa" w:w="60"/>
              <w:left w:type="dxa" w:w="120"/>
              <w:bottom w:type="dxa" w:w="60"/>
              <w:right w:type="dxa" w:w="120"/>
            </w:tcMar>
          </w:tcPr>
          <w:p>
            <w:r>
              <w:rPr>
                <w:rFonts w:ascii="Times New Roman" w:eastAsia="Microsoft YaHei"/>
                <w:color w:val="000000"/>
                <w:sz w:val="21"/>
                <w:szCs w:val="21"/>
              </w:rPr>
              <w:t xml:space="preserve">Cloud Firestore</w:t>
            </w:r>
          </w:p>
        </w:tc>
        <w:tc>
          <w:tcPr>
            <w:tcW w:type="pct" w:w="50%"/>
            <w:tcMar>
              <w:top w:type="dxa" w:w="60"/>
              <w:left w:type="dxa" w:w="120"/>
              <w:bottom w:type="dxa" w:w="60"/>
              <w:right w:type="dxa" w:w="120"/>
            </w:tcMar>
          </w:tcPr>
          <w:p>
            <w:r>
              <w:rPr>
                <w:rFonts w:ascii="Times New Roman" w:eastAsia="Microsoft YaHei"/>
                <w:color w:val="000000"/>
                <w:sz w:val="21"/>
                <w:szCs w:val="21"/>
              </w:rPr>
              <w:t xml:space="preserve">Structured user profiles, settings, connections</w:t>
            </w:r>
          </w:p>
        </w:tc>
      </w:tr>
      <w:tr>
        <w:trPr>
          <w:cantSplit/>
        </w:trPr>
        <w:tc>
          <w:tcPr>
            <w:tcW w:type="pct" w:w="20%"/>
            <w:tcMar>
              <w:top w:type="dxa" w:w="60"/>
              <w:left w:type="dxa" w:w="120"/>
              <w:bottom w:type="dxa" w:w="60"/>
              <w:right w:type="dxa" w:w="120"/>
            </w:tcMar>
          </w:tcPr>
          <w:p>
            <w:r>
              <w:rPr>
                <w:rFonts w:ascii="Times New Roman" w:eastAsia="Microsoft YaHei"/>
                <w:color w:val="000000"/>
                <w:sz w:val="21"/>
                <w:szCs w:val="21"/>
              </w:rPr>
              <w:t xml:space="preserve">Analytics</w:t>
            </w:r>
          </w:p>
        </w:tc>
        <w:tc>
          <w:tcPr>
            <w:tcW w:type="pct" w:w="30%"/>
            <w:tcMar>
              <w:top w:type="dxa" w:w="60"/>
              <w:left w:type="dxa" w:w="120"/>
              <w:bottom w:type="dxa" w:w="60"/>
              <w:right w:type="dxa" w:w="120"/>
            </w:tcMar>
          </w:tcPr>
          <w:p>
            <w:r>
              <w:rPr>
                <w:rFonts w:ascii="Times New Roman" w:eastAsia="Microsoft YaHei"/>
                <w:color w:val="000000"/>
                <w:sz w:val="21"/>
                <w:szCs w:val="21"/>
              </w:rPr>
              <w:t xml:space="preserve">BigQuery + Data Studio</w:t>
            </w:r>
          </w:p>
        </w:tc>
        <w:tc>
          <w:tcPr>
            <w:tcW w:type="pct" w:w="50%"/>
            <w:tcMar>
              <w:top w:type="dxa" w:w="60"/>
              <w:left w:type="dxa" w:w="120"/>
              <w:bottom w:type="dxa" w:w="60"/>
              <w:right w:type="dxa" w:w="120"/>
            </w:tcMar>
          </w:tcPr>
          <w:p>
            <w:r>
              <w:rPr>
                <w:rFonts w:ascii="Times New Roman" w:eastAsia="Microsoft YaHei"/>
                <w:color w:val="000000"/>
                <w:sz w:val="21"/>
                <w:szCs w:val="21"/>
              </w:rPr>
              <w:t xml:space="preserve">Historical analytics, ML training data, dashboards</w:t>
            </w:r>
          </w:p>
        </w:tc>
      </w:tr>
      <w:tr>
        <w:trPr>
          <w:cantSplit/>
        </w:trPr>
        <w:tc>
          <w:tcPr>
            <w:tcW w:type="pct" w:w="20%"/>
            <w:tcMar>
              <w:top w:type="dxa" w:w="60"/>
              <w:left w:type="dxa" w:w="120"/>
              <w:bottom w:type="dxa" w:w="60"/>
              <w:right w:type="dxa" w:w="120"/>
            </w:tcMar>
          </w:tcPr>
          <w:p>
            <w:r>
              <w:rPr>
                <w:rFonts w:ascii="Times New Roman" w:eastAsia="Microsoft YaHei"/>
                <w:color w:val="000000"/>
                <w:sz w:val="21"/>
                <w:szCs w:val="21"/>
              </w:rPr>
              <w:t xml:space="preserve">ML Engine</w:t>
            </w:r>
          </w:p>
        </w:tc>
        <w:tc>
          <w:tcPr>
            <w:tcW w:type="pct" w:w="30%"/>
            <w:tcMar>
              <w:top w:type="dxa" w:w="60"/>
              <w:left w:type="dxa" w:w="120"/>
              <w:bottom w:type="dxa" w:w="60"/>
              <w:right w:type="dxa" w:w="120"/>
            </w:tcMar>
          </w:tcPr>
          <w:p>
            <w:r>
              <w:rPr>
                <w:rFonts w:ascii="Times New Roman" w:eastAsia="Microsoft YaHei"/>
                <w:color w:val="000000"/>
                <w:sz w:val="21"/>
                <w:szCs w:val="21"/>
              </w:rPr>
              <w:t xml:space="preserve">Vertex AI (TensorFlow)</w:t>
            </w:r>
          </w:p>
        </w:tc>
        <w:tc>
          <w:tcPr>
            <w:tcW w:type="pct" w:w="50%"/>
            <w:tcMar>
              <w:top w:type="dxa" w:w="60"/>
              <w:left w:type="dxa" w:w="120"/>
              <w:bottom w:type="dxa" w:w="60"/>
              <w:right w:type="dxa" w:w="120"/>
            </w:tcMar>
          </w:tcPr>
          <w:p>
            <w:r>
              <w:rPr>
                <w:rFonts w:ascii="Times New Roman" w:eastAsia="Microsoft YaHei"/>
                <w:color w:val="000000"/>
                <w:sz w:val="21"/>
                <w:szCs w:val="21"/>
              </w:rPr>
              <w:t xml:space="preserve">Order ranking model training and inference</w:t>
            </w:r>
          </w:p>
        </w:tc>
      </w:tr>
      <w:tr>
        <w:trPr>
          <w:cantSplit/>
        </w:trPr>
        <w:tc>
          <w:tcPr>
            <w:tcW w:type="pct" w:w="20%"/>
            <w:tcMar>
              <w:top w:type="dxa" w:w="60"/>
              <w:left w:type="dxa" w:w="120"/>
              <w:bottom w:type="dxa" w:w="60"/>
              <w:right w:type="dxa" w:w="120"/>
            </w:tcMar>
          </w:tcPr>
          <w:p>
            <w:r>
              <w:rPr>
                <w:rFonts w:ascii="Times New Roman" w:eastAsia="Microsoft YaHei"/>
                <w:color w:val="000000"/>
                <w:sz w:val="21"/>
                <w:szCs w:val="21"/>
              </w:rPr>
              <w:t xml:space="preserve">Payments</w:t>
            </w:r>
          </w:p>
        </w:tc>
        <w:tc>
          <w:tcPr>
            <w:tcW w:type="pct" w:w="30%"/>
            <w:tcMar>
              <w:top w:type="dxa" w:w="60"/>
              <w:left w:type="dxa" w:w="120"/>
              <w:bottom w:type="dxa" w:w="60"/>
              <w:right w:type="dxa" w:w="120"/>
            </w:tcMar>
          </w:tcPr>
          <w:p>
            <w:r>
              <w:rPr>
                <w:rFonts w:ascii="Times New Roman" w:eastAsia="Microsoft YaHei"/>
                <w:color w:val="000000"/>
                <w:sz w:val="21"/>
                <w:szCs w:val="21"/>
              </w:rPr>
              <w:t xml:space="preserve">Stripe + Google Play Billing</w:t>
            </w:r>
          </w:p>
        </w:tc>
        <w:tc>
          <w:tcPr>
            <w:tcW w:type="pct" w:w="50%"/>
            <w:tcMar>
              <w:top w:type="dxa" w:w="60"/>
              <w:left w:type="dxa" w:w="120"/>
              <w:bottom w:type="dxa" w:w="60"/>
              <w:right w:type="dxa" w:w="120"/>
            </w:tcMar>
          </w:tcPr>
          <w:p>
            <w:r>
              <w:rPr>
                <w:rFonts w:ascii="Times New Roman" w:eastAsia="Microsoft YaHei"/>
                <w:color w:val="000000"/>
                <w:sz w:val="21"/>
                <w:szCs w:val="21"/>
              </w:rPr>
              <w:t xml:space="preserve">Web payments and in-app subscriptions</w:t>
            </w:r>
          </w:p>
        </w:tc>
      </w:tr>
      <w:tr>
        <w:trPr>
          <w:cantSplit/>
        </w:trPr>
        <w:tc>
          <w:tcPr>
            <w:tcW w:type="pct" w:w="20%"/>
            <w:tcMar>
              <w:top w:type="dxa" w:w="60"/>
              <w:left w:type="dxa" w:w="120"/>
              <w:bottom w:type="dxa" w:w="60"/>
              <w:right w:type="dxa" w:w="120"/>
            </w:tcMar>
          </w:tcPr>
          <w:p>
            <w:r>
              <w:rPr>
                <w:rFonts w:ascii="Times New Roman" w:eastAsia="Microsoft YaHei"/>
                <w:color w:val="000000"/>
                <w:sz w:val="21"/>
                <w:szCs w:val="21"/>
              </w:rPr>
              <w:t xml:space="preserve">Web Frontend</w:t>
            </w:r>
          </w:p>
        </w:tc>
        <w:tc>
          <w:tcPr>
            <w:tcW w:type="pct" w:w="30%"/>
            <w:tcMar>
              <w:top w:type="dxa" w:w="60"/>
              <w:left w:type="dxa" w:w="120"/>
              <w:bottom w:type="dxa" w:w="60"/>
              <w:right w:type="dxa" w:w="120"/>
            </w:tcMar>
          </w:tcPr>
          <w:p>
            <w:r>
              <w:rPr>
                <w:rFonts w:ascii="Times New Roman" w:eastAsia="Microsoft YaHei"/>
                <w:color w:val="000000"/>
                <w:sz w:val="21"/>
                <w:szCs w:val="21"/>
              </w:rPr>
              <w:t xml:space="preserve">Next.js 16 + Tailwind CSS v4</w:t>
            </w:r>
          </w:p>
        </w:tc>
        <w:tc>
          <w:tcPr>
            <w:tcW w:type="pct" w:w="50%"/>
            <w:tcMar>
              <w:top w:type="dxa" w:w="60"/>
              <w:left w:type="dxa" w:w="120"/>
              <w:bottom w:type="dxa" w:w="60"/>
              <w:right w:type="dxa" w:w="120"/>
            </w:tcMar>
          </w:tcPr>
          <w:p>
            <w:r>
              <w:rPr>
                <w:rFonts w:ascii="Times New Roman" w:eastAsia="Microsoft YaHei"/>
                <w:color w:val="000000"/>
                <w:sz w:val="21"/>
                <w:szCs w:val="21"/>
              </w:rPr>
              <w:t xml:space="preserve">Marketing site and web dashboard</w:t>
            </w:r>
          </w:p>
        </w:tc>
      </w:tr>
      <w:tr>
        <w:trPr>
          <w:cantSplit/>
        </w:trPr>
        <w:tc>
          <w:tcPr>
            <w:tcW w:type="pct" w:w="20%"/>
            <w:tcMar>
              <w:top w:type="dxa" w:w="60"/>
              <w:left w:type="dxa" w:w="120"/>
              <w:bottom w:type="dxa" w:w="60"/>
              <w:right w:type="dxa" w:w="120"/>
            </w:tcMar>
          </w:tcPr>
          <w:p>
            <w:r>
              <w:rPr>
                <w:rFonts w:ascii="Times New Roman" w:eastAsia="Microsoft YaHei"/>
                <w:color w:val="000000"/>
                <w:sz w:val="21"/>
                <w:szCs w:val="21"/>
              </w:rPr>
              <w:t xml:space="preserve">Monitoring</w:t>
            </w:r>
          </w:p>
        </w:tc>
        <w:tc>
          <w:tcPr>
            <w:tcW w:type="pct" w:w="30%"/>
            <w:tcMar>
              <w:top w:type="dxa" w:w="60"/>
              <w:left w:type="dxa" w:w="120"/>
              <w:bottom w:type="dxa" w:w="60"/>
              <w:right w:type="dxa" w:w="120"/>
            </w:tcMar>
          </w:tcPr>
          <w:p>
            <w:r>
              <w:rPr>
                <w:rFonts w:ascii="Times New Roman" w:eastAsia="Microsoft YaHei"/>
                <w:color w:val="000000"/>
                <w:sz w:val="21"/>
                <w:szCs w:val="21"/>
              </w:rPr>
              <w:t xml:space="preserve">Sentry + Cloud Monitoring</w:t>
            </w:r>
          </w:p>
        </w:tc>
        <w:tc>
          <w:tcPr>
            <w:tcW w:type="pct" w:w="50%"/>
            <w:tcMar>
              <w:top w:type="dxa" w:w="60"/>
              <w:left w:type="dxa" w:w="120"/>
              <w:bottom w:type="dxa" w:w="60"/>
              <w:right w:type="dxa" w:w="120"/>
            </w:tcMar>
          </w:tcPr>
          <w:p>
            <w:r>
              <w:rPr>
                <w:rFonts w:ascii="Times New Roman" w:eastAsia="Microsoft YaHei"/>
                <w:color w:val="000000"/>
                <w:sz w:val="21"/>
                <w:szCs w:val="21"/>
              </w:rPr>
              <w:t xml:space="preserve">Error tracking, performance monitoring, alerting</w:t>
            </w:r>
          </w:p>
        </w:tc>
      </w:tr>
    </w:tbl>
    <w:p>
      <w:pPr>
        <w:spacing w:after="80" w:line="312"/>
        <w:ind w:firstLine="480"/>
        <w:jc w:val="both"/>
      </w:pPr>
      <w:r>
        <w:rPr>
          <w:rFonts w:ascii="Times New Roman" w:eastAsia="Microsoft YaHei"/>
          <w:color w:val="000000"/>
          <w:sz w:val="24"/>
          <w:szCs w:val="24"/>
        </w:rPr>
        <w:t xml:space="preserve"/>
      </w:r>
    </w:p>
    <w:p>
      <w:pPr>
        <w:pStyle w:val="Heading1"/>
        <w:spacing w:after="120" w:before="240"/>
      </w:pPr>
      <w:r>
        <w:rPr>
          <w:rFonts w:ascii="Times New Roman" w:eastAsia="SimHei"/>
          <w:b/>
          <w:bCs/>
          <w:color w:val="0A1628"/>
        </w:rPr>
        <w:t xml:space="preserve">4. Android Client Architecture</w:t>
      </w:r>
    </w:p>
    <w:p>
      <w:pPr>
        <w:pStyle w:val="Heading2"/>
        <w:spacing w:after="120" w:before="240"/>
      </w:pPr>
      <w:r>
        <w:rPr>
          <w:rFonts w:ascii="Times New Roman" w:eastAsia="SimHei"/>
          <w:b/>
          <w:bCs/>
          <w:color w:val="0A1628"/>
        </w:rPr>
        <w:t xml:space="preserve">4.1 Notification Listener Service</w:t>
      </w:r>
    </w:p>
    <w:p>
      <w:pPr>
        <w:spacing w:after="80" w:line="312"/>
        <w:ind w:firstLine="480"/>
        <w:jc w:val="both"/>
      </w:pPr>
      <w:r>
        <w:rPr>
          <w:rFonts w:ascii="Times New Roman" w:eastAsia="Microsoft YaHei"/>
          <w:color w:val="000000"/>
          <w:sz w:val="24"/>
          <w:szCs w:val="24"/>
        </w:rPr>
        <w:t xml:space="preserve">The core differentiator of DeliveryBoost is its ability to intercept and process notifications from all installed delivery platform applications. This is achieved through the Android NotificationListenerService API, which requires explicit user permission granted through the Android Settings application. Once enabled, the service receives callbacks for all posted, removed, and updated system notifications, allowing DeliveryBoost to detect delivery order offers in real-time.</w:t>
      </w:r>
    </w:p>
    <w:p>
      <w:pPr>
        <w:spacing w:after="80" w:line="312"/>
        <w:ind w:firstLine="480"/>
        <w:jc w:val="both"/>
      </w:pPr>
      <w:r>
        <w:rPr>
          <w:rFonts w:ascii="Times New Roman" w:eastAsia="Microsoft YaHei"/>
          <w:color w:val="000000"/>
          <w:sz w:val="24"/>
          <w:szCs w:val="24"/>
        </w:rPr>
        <w:t xml:space="preserve">The notification parsing module uses a platform-specific parser architecture. Each delivery platform has a dedicated parser class that understands the notification structure, extras bundle keys, and text patterns used by that platform. For example, the Uber Eats parser looks for specific package name identifiers and extracts order value, pickup location, and distance from the notification's BigTextStyle expanded text.</w:t>
      </w:r>
    </w:p>
    <w:p>
      <w:pPr>
        <w:pStyle w:val="Heading2"/>
        <w:spacing w:after="120" w:before="240"/>
      </w:pPr>
      <w:r>
        <w:rPr>
          <w:rFonts w:ascii="Times New Roman" w:eastAsia="SimHei"/>
          <w:b/>
          <w:bCs/>
          <w:color w:val="0A1628"/>
        </w:rPr>
        <w:t xml:space="preserve">4.2 Local Data Layer</w:t>
      </w:r>
    </w:p>
    <w:p>
      <w:pPr>
        <w:spacing w:after="80" w:line="312"/>
        <w:ind w:firstLine="480"/>
        <w:jc w:val="both"/>
      </w:pPr>
      <w:r>
        <w:rPr>
          <w:rFonts w:ascii="Times New Roman" w:eastAsia="Microsoft YaHei"/>
          <w:color w:val="000000"/>
          <w:sz w:val="24"/>
          <w:szCs w:val="24"/>
        </w:rPr>
        <w:t xml:space="preserve">The Android client maintains a local SQLite database using Room ORM for offline-first operation. This database caches the most recent 100 orders, user settings, platform connection statuses, and earnings snapshots. The local cache ensures the app remains responsive even when network connectivity is poor, which is a common scenario for drivers operating in areas with spotty cellular coverage.</w:t>
      </w:r>
    </w:p>
    <w:p>
      <w:pPr>
        <w:pStyle w:val="Heading2"/>
        <w:spacing w:after="120" w:before="240"/>
      </w:pPr>
      <w:r>
        <w:rPr>
          <w:rFonts w:ascii="Times New Roman" w:eastAsia="SimHei"/>
          <w:b/>
          <w:bCs/>
          <w:color w:val="0A1628"/>
        </w:rPr>
        <w:t xml:space="preserve">4.3 Background Processing</w:t>
      </w:r>
    </w:p>
    <w:p>
      <w:pPr>
        <w:spacing w:after="80" w:line="312"/>
        <w:ind w:firstLine="480"/>
        <w:jc w:val="both"/>
      </w:pPr>
      <w:r>
        <w:rPr>
          <w:rFonts w:ascii="Times New Roman" w:eastAsia="Microsoft YaHei"/>
          <w:color w:val="000000"/>
          <w:sz w:val="24"/>
          <w:szCs w:val="24"/>
        </w:rPr>
        <w:t xml:space="preserve">The application uses Android WorkManager for scheduled background tasks such as earnings data aggregation, notification listener health checks, and subscription status verification. For the auto-accept feature, a Foreground Service with a persistent notification ensures the feature remains active even when the app is not in the foreground. Battery optimization is handled through intelligent batching of network requests.</w:t>
      </w:r>
    </w:p>
    <w:p>
      <w:pPr>
        <w:pStyle w:val="Heading1"/>
        <w:spacing w:after="120" w:before="240"/>
      </w:pPr>
      <w:r>
        <w:rPr>
          <w:rFonts w:ascii="Times New Roman" w:eastAsia="SimHei"/>
          <w:b/>
          <w:bCs/>
          <w:color w:val="0A1628"/>
        </w:rPr>
        <w:t xml:space="preserve">5. Backend Service Architecture</w:t>
      </w:r>
    </w:p>
    <w:p>
      <w:pPr>
        <w:spacing w:after="80" w:line="312"/>
        <w:ind w:firstLine="480"/>
        <w:jc w:val="both"/>
      </w:pPr>
      <w:r>
        <w:rPr>
          <w:rFonts w:ascii="Times New Roman" w:eastAsia="Microsoft YaHei"/>
          <w:color w:val="000000"/>
          <w:sz w:val="24"/>
          <w:szCs w:val="24"/>
        </w:rPr>
        <w:t xml:space="preserve">The backend is decomposed into four primary microservices, each deployed as an independent Cloud Run service. The Notification Processing Service receives raw notification data from clients, validates the data against platform-specific schemas, enriches it with computed fields such as $/mile efficiency score, and publishes it to the real-time order feed on Firebase Realtime Database.</w:t>
      </w:r>
    </w:p>
    <w:p>
      <w:pPr>
        <w:spacing w:after="80" w:line="312"/>
        <w:ind w:firstLine="480"/>
        <w:jc w:val="both"/>
      </w:pPr>
      <w:r>
        <w:rPr>
          <w:rFonts w:ascii="Times New Roman" w:eastAsia="Microsoft YaHei"/>
          <w:color w:val="000000"/>
          <w:sz w:val="24"/>
          <w:szCs w:val="24"/>
        </w:rPr>
        <w:t xml:space="preserve">The Order Ranking Engine applies a trained machine learning model to score each incoming order based on the driver's historical acceptance patterns, current location, time of day, and platform-specific tip probability estimates. The User Management Service handles all authentication operations via Firebase Authentication, manages platform connection credentials, and tracks subscription status. The Earnings Analytics Service aggregates daily, weekly, and monthly earnings data by platform.</w:t>
      </w:r>
    </w:p>
    <w:p>
      <w:pPr>
        <w:pStyle w:val="Heading1"/>
        <w:spacing w:after="120" w:before="240"/>
      </w:pPr>
      <w:r>
        <w:rPr>
          <w:rFonts w:ascii="Times New Roman" w:eastAsia="SimHei"/>
          <w:b/>
          <w:bCs/>
          <w:color w:val="0A1628"/>
        </w:rPr>
        <w:t xml:space="preserve">6. Data Model</w:t>
      </w:r>
    </w:p>
    <w:tbl>
      <w:tblPr>
        <w:tblW w:type="pct" w:w="100%"/>
        <w:tblBorders>
          <w:top w:val="single" w:color="2A6B8A" w:sz="2"/>
          <w:left w:val="none" w:color="FFFFFF" w:sz="0"/>
          <w:bottom w:val="single" w:color="2A6B8A" w:sz="2"/>
          <w:right w:val="none" w:color="FFFFFF" w:sz="0"/>
          <w:insideH w:val="single" w:color="D0DDE8" w:sz="1"/>
          <w:insideV w:val="none" w:color="FFFFFF" w:sz="0"/>
        </w:tblBorders>
      </w:tblPr>
      <w:tblGrid>
        <w:gridCol w:w="100"/>
        <w:gridCol w:w="100"/>
        <w:gridCol w:w="100"/>
        <w:gridCol w:w="100"/>
      </w:tblGrid>
      <w:tr>
        <w:trPr>
          <w:cantSplit/>
          <w:tblHeader/>
        </w:trPr>
        <w:tc>
          <w:tcPr>
            <w:tcW w:type="pct" w:w="20%"/>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Entity</w:t>
            </w:r>
          </w:p>
        </w:tc>
        <w:tc>
          <w:tcPr>
            <w:tcW w:type="pct" w:w="20%"/>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Storage</w:t>
            </w:r>
          </w:p>
        </w:tc>
        <w:tc>
          <w:tcPr>
            <w:tcW w:type="pct" w:w="40%"/>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Key Fields</w:t>
            </w:r>
          </w:p>
        </w:tc>
        <w:tc>
          <w:tcPr>
            <w:tcW w:type="pct" w:w="20%"/>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Access Pattern</w:t>
            </w:r>
          </w:p>
        </w:tc>
      </w:tr>
      <w:tr>
        <w:trPr>
          <w:cantSplit/>
        </w:trPr>
        <w:tc>
          <w:tcPr>
            <w:tcW w:type="pct" w:w="20%"/>
            <w:tcMar>
              <w:top w:type="dxa" w:w="60"/>
              <w:left w:type="dxa" w:w="120"/>
              <w:bottom w:type="dxa" w:w="60"/>
              <w:right w:type="dxa" w:w="120"/>
            </w:tcMar>
          </w:tcPr>
          <w:p>
            <w:r>
              <w:rPr>
                <w:rFonts w:ascii="Times New Roman" w:eastAsia="Microsoft YaHei"/>
                <w:color w:val="000000"/>
                <w:sz w:val="21"/>
                <w:szCs w:val="21"/>
              </w:rPr>
              <w:t xml:space="preserve">User</w:t>
            </w:r>
          </w:p>
        </w:tc>
        <w:tc>
          <w:tcPr>
            <w:tcW w:type="pct" w:w="20%"/>
            <w:tcMar>
              <w:top w:type="dxa" w:w="60"/>
              <w:left w:type="dxa" w:w="120"/>
              <w:bottom w:type="dxa" w:w="60"/>
              <w:right w:type="dxa" w:w="120"/>
            </w:tcMar>
          </w:tcPr>
          <w:p>
            <w:r>
              <w:rPr>
                <w:rFonts w:ascii="Times New Roman" w:eastAsia="Microsoft YaHei"/>
                <w:color w:val="000000"/>
                <w:sz w:val="21"/>
                <w:szCs w:val="21"/>
              </w:rPr>
              <w:t xml:space="preserve">Firestore</w:t>
            </w:r>
          </w:p>
        </w:tc>
        <w:tc>
          <w:tcPr>
            <w:tcW w:type="pct" w:w="40%"/>
            <w:tcMar>
              <w:top w:type="dxa" w:w="60"/>
              <w:left w:type="dxa" w:w="120"/>
              <w:bottom w:type="dxa" w:w="60"/>
              <w:right w:type="dxa" w:w="120"/>
            </w:tcMar>
          </w:tcPr>
          <w:p>
            <w:r>
              <w:rPr>
                <w:rFonts w:ascii="Times New Roman" w:eastAsia="Microsoft YaHei"/>
                <w:color w:val="000000"/>
                <w:sz w:val="21"/>
                <w:szCs w:val="21"/>
              </w:rPr>
              <w:t xml:space="preserve">uid, email, tier, connections[], settings</w:t>
            </w:r>
          </w:p>
        </w:tc>
        <w:tc>
          <w:tcPr>
            <w:tcW w:type="pct" w:w="20%"/>
            <w:tcMar>
              <w:top w:type="dxa" w:w="60"/>
              <w:left w:type="dxa" w:w="120"/>
              <w:bottom w:type="dxa" w:w="60"/>
              <w:right w:type="dxa" w:w="120"/>
            </w:tcMar>
          </w:tcPr>
          <w:p>
            <w:r>
              <w:rPr>
                <w:rFonts w:ascii="Times New Roman" w:eastAsia="Microsoft YaHei"/>
                <w:color w:val="000000"/>
                <w:sz w:val="21"/>
                <w:szCs w:val="21"/>
              </w:rPr>
              <w:t xml:space="preserve">Read-heavy, cacheable</w:t>
            </w:r>
          </w:p>
        </w:tc>
      </w:tr>
      <w:tr>
        <w:trPr>
          <w:cantSplit/>
        </w:trPr>
        <w:tc>
          <w:tcPr>
            <w:tcW w:type="pct" w:w="20%"/>
            <w:tcMar>
              <w:top w:type="dxa" w:w="60"/>
              <w:left w:type="dxa" w:w="120"/>
              <w:bottom w:type="dxa" w:w="60"/>
              <w:right w:type="dxa" w:w="120"/>
            </w:tcMar>
          </w:tcPr>
          <w:p>
            <w:r>
              <w:rPr>
                <w:rFonts w:ascii="Times New Roman" w:eastAsia="Microsoft YaHei"/>
                <w:color w:val="000000"/>
                <w:sz w:val="21"/>
                <w:szCs w:val="21"/>
              </w:rPr>
              <w:t xml:space="preserve">Order</w:t>
            </w:r>
          </w:p>
        </w:tc>
        <w:tc>
          <w:tcPr>
            <w:tcW w:type="pct" w:w="20%"/>
            <w:tcMar>
              <w:top w:type="dxa" w:w="60"/>
              <w:left w:type="dxa" w:w="120"/>
              <w:bottom w:type="dxa" w:w="60"/>
              <w:right w:type="dxa" w:w="120"/>
            </w:tcMar>
          </w:tcPr>
          <w:p>
            <w:r>
              <w:rPr>
                <w:rFonts w:ascii="Times New Roman" w:eastAsia="Microsoft YaHei"/>
                <w:color w:val="000000"/>
                <w:sz w:val="21"/>
                <w:szCs w:val="21"/>
              </w:rPr>
              <w:t xml:space="preserve">Firebase RTDB</w:t>
            </w:r>
          </w:p>
        </w:tc>
        <w:tc>
          <w:tcPr>
            <w:tcW w:type="pct" w:w="40%"/>
            <w:tcMar>
              <w:top w:type="dxa" w:w="60"/>
              <w:left w:type="dxa" w:w="120"/>
              <w:bottom w:type="dxa" w:w="60"/>
              <w:right w:type="dxa" w:w="120"/>
            </w:tcMar>
          </w:tcPr>
          <w:p>
            <w:r>
              <w:rPr>
                <w:rFonts w:ascii="Times New Roman" w:eastAsia="Microsoft YaHei"/>
                <w:color w:val="000000"/>
                <w:sz w:val="21"/>
                <w:szCs w:val="21"/>
              </w:rPr>
              <w:t xml:space="preserve">id, platform, value, pickup, dropoff, distance, status, timestamp</w:t>
            </w:r>
          </w:p>
        </w:tc>
        <w:tc>
          <w:tcPr>
            <w:tcW w:type="pct" w:w="20%"/>
            <w:tcMar>
              <w:top w:type="dxa" w:w="60"/>
              <w:left w:type="dxa" w:w="120"/>
              <w:bottom w:type="dxa" w:w="60"/>
              <w:right w:type="dxa" w:w="120"/>
            </w:tcMar>
          </w:tcPr>
          <w:p>
            <w:r>
              <w:rPr>
                <w:rFonts w:ascii="Times New Roman" w:eastAsia="Microsoft YaHei"/>
                <w:color w:val="000000"/>
                <w:sz w:val="21"/>
                <w:szCs w:val="21"/>
              </w:rPr>
              <w:t xml:space="preserve">Real-time feed, TTL 24h</w:t>
            </w:r>
          </w:p>
        </w:tc>
      </w:tr>
      <w:tr>
        <w:trPr>
          <w:cantSplit/>
        </w:trPr>
        <w:tc>
          <w:tcPr>
            <w:tcW w:type="pct" w:w="20%"/>
            <w:tcMar>
              <w:top w:type="dxa" w:w="60"/>
              <w:left w:type="dxa" w:w="120"/>
              <w:bottom w:type="dxa" w:w="60"/>
              <w:right w:type="dxa" w:w="120"/>
            </w:tcMar>
          </w:tcPr>
          <w:p>
            <w:r>
              <w:rPr>
                <w:rFonts w:ascii="Times New Roman" w:eastAsia="Microsoft YaHei"/>
                <w:color w:val="000000"/>
                <w:sz w:val="21"/>
                <w:szCs w:val="21"/>
              </w:rPr>
              <w:t xml:space="preserve">EarningsRecord</w:t>
            </w:r>
          </w:p>
        </w:tc>
        <w:tc>
          <w:tcPr>
            <w:tcW w:type="pct" w:w="20%"/>
            <w:tcMar>
              <w:top w:type="dxa" w:w="60"/>
              <w:left w:type="dxa" w:w="120"/>
              <w:bottom w:type="dxa" w:w="60"/>
              <w:right w:type="dxa" w:w="120"/>
            </w:tcMar>
          </w:tcPr>
          <w:p>
            <w:r>
              <w:rPr>
                <w:rFonts w:ascii="Times New Roman" w:eastAsia="Microsoft YaHei"/>
                <w:color w:val="000000"/>
                <w:sz w:val="21"/>
                <w:szCs w:val="21"/>
              </w:rPr>
              <w:t xml:space="preserve">BigQuery + Firestore</w:t>
            </w:r>
          </w:p>
        </w:tc>
        <w:tc>
          <w:tcPr>
            <w:tcW w:type="pct" w:w="40%"/>
            <w:tcMar>
              <w:top w:type="dxa" w:w="60"/>
              <w:left w:type="dxa" w:w="120"/>
              <w:bottom w:type="dxa" w:w="60"/>
              <w:right w:type="dxa" w:w="120"/>
            </w:tcMar>
          </w:tcPr>
          <w:p>
            <w:r>
              <w:rPr>
                <w:rFonts w:ascii="Times New Roman" w:eastAsia="Microsoft YaHei"/>
                <w:color w:val="000000"/>
                <w:sz w:val="21"/>
                <w:szCs w:val="21"/>
              </w:rPr>
              <w:t xml:space="preserve">userId, date, platform, amount, orders, hours</w:t>
            </w:r>
          </w:p>
        </w:tc>
        <w:tc>
          <w:tcPr>
            <w:tcW w:type="pct" w:w="20%"/>
            <w:tcMar>
              <w:top w:type="dxa" w:w="60"/>
              <w:left w:type="dxa" w:w="120"/>
              <w:bottom w:type="dxa" w:w="60"/>
              <w:right w:type="dxa" w:w="120"/>
            </w:tcMar>
          </w:tcPr>
          <w:p>
            <w:r>
              <w:rPr>
                <w:rFonts w:ascii="Times New Roman" w:eastAsia="Microsoft YaHei"/>
                <w:color w:val="000000"/>
                <w:sz w:val="21"/>
                <w:szCs w:val="21"/>
              </w:rPr>
              <w:t xml:space="preserve">Analytics queries</w:t>
            </w:r>
          </w:p>
        </w:tc>
      </w:tr>
      <w:tr>
        <w:trPr>
          <w:cantSplit/>
        </w:trPr>
        <w:tc>
          <w:tcPr>
            <w:tcW w:type="pct" w:w="20%"/>
            <w:tcMar>
              <w:top w:type="dxa" w:w="60"/>
              <w:left w:type="dxa" w:w="120"/>
              <w:bottom w:type="dxa" w:w="60"/>
              <w:right w:type="dxa" w:w="120"/>
            </w:tcMar>
          </w:tcPr>
          <w:p>
            <w:r>
              <w:rPr>
                <w:rFonts w:ascii="Times New Roman" w:eastAsia="Microsoft YaHei"/>
                <w:color w:val="000000"/>
                <w:sz w:val="21"/>
                <w:szCs w:val="21"/>
              </w:rPr>
              <w:t xml:space="preserve">Subscription</w:t>
            </w:r>
          </w:p>
        </w:tc>
        <w:tc>
          <w:tcPr>
            <w:tcW w:type="pct" w:w="20%"/>
            <w:tcMar>
              <w:top w:type="dxa" w:w="60"/>
              <w:left w:type="dxa" w:w="120"/>
              <w:bottom w:type="dxa" w:w="60"/>
              <w:right w:type="dxa" w:w="120"/>
            </w:tcMar>
          </w:tcPr>
          <w:p>
            <w:r>
              <w:rPr>
                <w:rFonts w:ascii="Times New Roman" w:eastAsia="Microsoft YaHei"/>
                <w:color w:val="000000"/>
                <w:sz w:val="21"/>
                <w:szCs w:val="21"/>
              </w:rPr>
              <w:t xml:space="preserve">Firestore + Stripe</w:t>
            </w:r>
          </w:p>
        </w:tc>
        <w:tc>
          <w:tcPr>
            <w:tcW w:type="pct" w:w="40%"/>
            <w:tcMar>
              <w:top w:type="dxa" w:w="60"/>
              <w:left w:type="dxa" w:w="120"/>
              <w:bottom w:type="dxa" w:w="60"/>
              <w:right w:type="dxa" w:w="120"/>
            </w:tcMar>
          </w:tcPr>
          <w:p>
            <w:r>
              <w:rPr>
                <w:rFonts w:ascii="Times New Roman" w:eastAsia="Microsoft YaHei"/>
                <w:color w:val="000000"/>
                <w:sz w:val="21"/>
                <w:szCs w:val="21"/>
              </w:rPr>
              <w:t xml:space="preserve">userId, plan, status, startDate, endDate, providerId</w:t>
            </w:r>
          </w:p>
        </w:tc>
        <w:tc>
          <w:tcPr>
            <w:tcW w:type="pct" w:w="20%"/>
            <w:tcMar>
              <w:top w:type="dxa" w:w="60"/>
              <w:left w:type="dxa" w:w="120"/>
              <w:bottom w:type="dxa" w:w="60"/>
              <w:right w:type="dxa" w:w="120"/>
            </w:tcMar>
          </w:tcPr>
          <w:p>
            <w:r>
              <w:rPr>
                <w:rFonts w:ascii="Times New Roman" w:eastAsia="Microsoft YaHei"/>
                <w:color w:val="000000"/>
                <w:sz w:val="21"/>
                <w:szCs w:val="21"/>
              </w:rPr>
              <w:t xml:space="preserve">Check on every request</w:t>
            </w:r>
          </w:p>
        </w:tc>
      </w:tr>
    </w:tbl>
    <w:p>
      <w:pPr>
        <w:spacing w:after="80" w:line="312"/>
        <w:ind w:firstLine="480"/>
        <w:jc w:val="both"/>
      </w:pPr>
      <w:r>
        <w:rPr>
          <w:rFonts w:ascii="Times New Roman" w:eastAsia="Microsoft YaHei"/>
          <w:color w:val="000000"/>
          <w:sz w:val="24"/>
          <w:szCs w:val="24"/>
        </w:rPr>
        <w:t xml:space="preserve"/>
      </w:r>
    </w:p>
    <w:p>
      <w:pPr>
        <w:pStyle w:val="Heading1"/>
        <w:spacing w:after="120" w:before="240"/>
      </w:pPr>
      <w:r>
        <w:rPr>
          <w:rFonts w:ascii="Times New Roman" w:eastAsia="SimHei"/>
          <w:b/>
          <w:bCs/>
          <w:color w:val="0A1628"/>
        </w:rPr>
        <w:t xml:space="preserve">7. Notification Processing Pipeline</w:t>
      </w:r>
    </w:p>
    <w:p>
      <w:pPr>
        <w:spacing w:after="80" w:line="312"/>
        <w:ind w:firstLine="480"/>
        <w:jc w:val="both"/>
      </w:pPr>
      <w:r>
        <w:rPr>
          <w:rFonts w:ascii="Times New Roman" w:eastAsia="Microsoft YaHei"/>
          <w:color w:val="000000"/>
          <w:sz w:val="24"/>
          <w:szCs w:val="24"/>
        </w:rPr>
        <w:t xml:space="preserve">The notification processing pipeline is the critical path of the system, responsible for transforming raw Android notification data into structured, ranked order offers delivered to the driver's feed within one second. The pipeline consists of five stages: intercept, parse, enrich, rank, and deliver. In the intercept stage, the NotificationListenerService receives a notification callback. In the parse stage, the platform-specific parser extracts structured data. The enrich stage computes derived fields. The rank stage applies the ML model. The deliver stage writes to Firebase Realtime Database.</w:t>
      </w:r>
    </w:p>
    <w:p>
      <w:pPr>
        <w:pStyle w:val="Heading1"/>
        <w:spacing w:after="120" w:before="240"/>
      </w:pPr>
      <w:r>
        <w:rPr>
          <w:rFonts w:ascii="Times New Roman" w:eastAsia="SimHei"/>
          <w:b/>
          <w:bCs/>
          <w:color w:val="0A1628"/>
        </w:rPr>
        <w:t xml:space="preserve">8. Scalability Considerations</w:t>
      </w:r>
    </w:p>
    <w:p>
      <w:pPr>
        <w:spacing w:after="80" w:line="312"/>
        <w:ind w:firstLine="480"/>
        <w:jc w:val="both"/>
      </w:pPr>
      <w:r>
        <w:rPr>
          <w:rFonts w:ascii="Times New Roman" w:eastAsia="Microsoft YaHei"/>
          <w:color w:val="000000"/>
          <w:sz w:val="24"/>
          <w:szCs w:val="24"/>
        </w:rPr>
        <w:t xml:space="preserve">The architecture is designed to scale from the initial target of 10,000 users to 500,000 users without fundamental restructuring. Firebase Realtime Database supports up to 200,000 concurrent connections per instance, with the ability to shard across multiple databases. Cloud Run scales to zero during off-peak hours, keeping costs proportional to actual usage. For the order ranking engine, the lightweight ML model (under 10MB) can perform inference in under 50ms, and will be optimized using TensorFlow Lite for on-device inference as the user base grows.</w:t>
      </w:r>
    </w:p>
    <w:p>
      <w:pPr>
        <w:pStyle w:val="Heading1"/>
        <w:spacing w:after="120" w:before="240"/>
      </w:pPr>
      <w:r>
        <w:rPr>
          <w:rFonts w:ascii="Times New Roman" w:eastAsia="SimHei"/>
          <w:b/>
          <w:bCs/>
          <w:color w:val="0A1628"/>
        </w:rPr>
        <w:t xml:space="preserve">9. Disaster Recovery</w:t>
      </w:r>
    </w:p>
    <w:p>
      <w:pPr>
        <w:spacing w:after="80" w:line="312"/>
        <w:ind w:firstLine="480"/>
        <w:jc w:val="both"/>
      </w:pPr>
      <w:r>
        <w:rPr>
          <w:rFonts w:ascii="Times New Roman" w:eastAsia="Microsoft YaHei"/>
          <w:color w:val="000000"/>
          <w:sz w:val="24"/>
          <w:szCs w:val="24"/>
        </w:rPr>
        <w:t xml:space="preserve">The system implements a multi-layer backup strategy. Firebase Realtime Database automatic daily backups are enabled with 30-day retention. Firestore exports run weekly to a Cloud Storage bucket in a separate region. BigQuery data is inherently durable with a 99.999% annual durability SLA. In the event of a regional outage, the Cloud Run services can be redeployed to a backup region within 15 minutes using the Terraform configuration.</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08080"/>
        <w:sz w:val="18"/>
        <w:szCs w:val="18"/>
      </w:rPr>
      <w:t xml:space="preserve">DeliveryBoost Architecture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2026-06-07T10:10:07.817Z</dcterms:created>
  <dcterms:modified xsi:type="dcterms:W3CDTF">2026-06-07T10:10:07.817Z</dcterms:modified>
</cp:coreProperties>
</file>

<file path=docProps/custom.xml><?xml version="1.0" encoding="utf-8"?>
<Properties xmlns="http://schemas.openxmlformats.org/officeDocument/2006/custom-properties" xmlns:vt="http://schemas.openxmlformats.org/officeDocument/2006/docPropsVTypes"/>
</file>