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65C94" w14:textId="77777777" w:rsidR="0070281A" w:rsidRDefault="0070281A" w:rsidP="0070281A">
      <w:pPr>
        <w:ind w:left="1440" w:hanging="1080"/>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6D8A133" wp14:editId="5FACE38A">
            <wp:extent cx="1206393" cy="1206393"/>
            <wp:effectExtent l="0" t="0" r="0" b="0"/>
            <wp:docPr id="2144005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05084" name="Picture 214400508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06471" cy="1206471"/>
                    </a:xfrm>
                    <a:prstGeom prst="rect">
                      <a:avLst/>
                    </a:prstGeom>
                  </pic:spPr>
                </pic:pic>
              </a:graphicData>
            </a:graphic>
          </wp:inline>
        </w:drawing>
      </w:r>
    </w:p>
    <w:p w14:paraId="6ACA5C01" w14:textId="77777777" w:rsidR="0070281A" w:rsidRPr="00CC032C" w:rsidRDefault="0070281A" w:rsidP="0070281A">
      <w:pPr>
        <w:spacing w:line="240" w:lineRule="auto"/>
        <w:ind w:left="1440" w:hanging="1080"/>
        <w:jc w:val="center"/>
        <w:rPr>
          <w:rFonts w:ascii="Times New Roman" w:hAnsi="Times New Roman" w:cs="Times New Roman"/>
          <w:b/>
          <w:bCs/>
          <w:sz w:val="32"/>
          <w:szCs w:val="32"/>
        </w:rPr>
      </w:pPr>
      <w:r>
        <w:rPr>
          <w:rFonts w:ascii="Times New Roman" w:hAnsi="Times New Roman" w:cs="Times New Roman"/>
          <w:b/>
          <w:color w:val="3F3F3F"/>
          <w:sz w:val="32"/>
          <w:szCs w:val="32"/>
        </w:rPr>
        <w:t>Name- Yashas Gowda Ravi</w:t>
      </w:r>
    </w:p>
    <w:p w14:paraId="703872B8" w14:textId="77777777" w:rsidR="0070281A" w:rsidRDefault="0070281A" w:rsidP="0070281A">
      <w:pPr>
        <w:spacing w:after="0" w:line="240" w:lineRule="auto"/>
        <w:jc w:val="center"/>
        <w:rPr>
          <w:rFonts w:ascii="Times New Roman" w:hAnsi="Times New Roman" w:cs="Times New Roman"/>
          <w:b/>
          <w:color w:val="3F3F3F"/>
          <w:sz w:val="32"/>
          <w:szCs w:val="32"/>
        </w:rPr>
      </w:pPr>
    </w:p>
    <w:p w14:paraId="4095ED76" w14:textId="77777777" w:rsidR="0070281A" w:rsidRDefault="0070281A" w:rsidP="0070281A">
      <w:pPr>
        <w:spacing w:after="0" w:line="240" w:lineRule="auto"/>
        <w:jc w:val="center"/>
        <w:rPr>
          <w:rFonts w:ascii="Times New Roman" w:hAnsi="Times New Roman" w:cs="Times New Roman"/>
          <w:b/>
          <w:color w:val="3F3F3F"/>
          <w:sz w:val="32"/>
          <w:szCs w:val="32"/>
        </w:rPr>
      </w:pPr>
      <w:r>
        <w:rPr>
          <w:rFonts w:ascii="Times New Roman" w:hAnsi="Times New Roman" w:cs="Times New Roman"/>
          <w:b/>
          <w:sz w:val="32"/>
          <w:szCs w:val="32"/>
        </w:rPr>
        <w:t xml:space="preserve">Student ID- </w:t>
      </w:r>
      <w:r>
        <w:rPr>
          <w:rFonts w:ascii="Times New Roman" w:hAnsi="Times New Roman" w:cs="Times New Roman"/>
          <w:b/>
          <w:color w:val="3F3F3F"/>
          <w:sz w:val="32"/>
          <w:szCs w:val="32"/>
        </w:rPr>
        <w:t>K2261873</w:t>
      </w:r>
    </w:p>
    <w:p w14:paraId="52C3A201" w14:textId="77777777" w:rsidR="0070281A" w:rsidRDefault="0070281A" w:rsidP="0070281A">
      <w:pPr>
        <w:spacing w:line="240" w:lineRule="auto"/>
        <w:jc w:val="center"/>
        <w:rPr>
          <w:rFonts w:ascii="Times New Roman" w:hAnsi="Times New Roman" w:cs="Times New Roman"/>
          <w:b/>
          <w:sz w:val="32"/>
          <w:szCs w:val="32"/>
        </w:rPr>
      </w:pPr>
    </w:p>
    <w:p w14:paraId="362AEDE9" w14:textId="4566D772" w:rsidR="0070281A" w:rsidRDefault="0070281A" w:rsidP="0070281A">
      <w:pPr>
        <w:spacing w:line="240" w:lineRule="auto"/>
        <w:jc w:val="center"/>
        <w:rPr>
          <w:rFonts w:ascii="Times New Roman" w:hAnsi="Times New Roman" w:cs="Times New Roman"/>
          <w:b/>
          <w:sz w:val="32"/>
          <w:szCs w:val="32"/>
        </w:rPr>
      </w:pPr>
      <w:r>
        <w:rPr>
          <w:rFonts w:ascii="Times New Roman" w:hAnsi="Times New Roman" w:cs="Times New Roman"/>
          <w:b/>
          <w:sz w:val="32"/>
          <w:szCs w:val="32"/>
        </w:rPr>
        <w:t>Module Name-</w:t>
      </w:r>
      <w:r w:rsidR="006859D4">
        <w:rPr>
          <w:rFonts w:ascii="Times New Roman" w:hAnsi="Times New Roman" w:cs="Times New Roman"/>
          <w:b/>
          <w:sz w:val="32"/>
          <w:szCs w:val="32"/>
        </w:rPr>
        <w:t xml:space="preserve"> </w:t>
      </w:r>
      <w:r w:rsidR="0070519A">
        <w:rPr>
          <w:rFonts w:ascii="Times New Roman" w:hAnsi="Times New Roman" w:cs="Times New Roman"/>
          <w:b/>
          <w:color w:val="3F3F3F"/>
          <w:sz w:val="32"/>
          <w:szCs w:val="32"/>
        </w:rPr>
        <w:t>C</w:t>
      </w:r>
      <w:r w:rsidR="006859D4">
        <w:rPr>
          <w:rFonts w:ascii="Times New Roman" w:hAnsi="Times New Roman" w:cs="Times New Roman"/>
          <w:b/>
          <w:color w:val="3F3F3F"/>
          <w:sz w:val="32"/>
          <w:szCs w:val="32"/>
        </w:rPr>
        <w:t xml:space="preserve">onsultancy </w:t>
      </w:r>
      <w:r w:rsidR="0070519A">
        <w:rPr>
          <w:rFonts w:ascii="Times New Roman" w:hAnsi="Times New Roman" w:cs="Times New Roman"/>
          <w:b/>
          <w:color w:val="3F3F3F"/>
          <w:sz w:val="32"/>
          <w:szCs w:val="32"/>
        </w:rPr>
        <w:t>in</w:t>
      </w:r>
      <w:r w:rsidR="006859D4">
        <w:rPr>
          <w:rFonts w:ascii="Times New Roman" w:hAnsi="Times New Roman" w:cs="Times New Roman"/>
          <w:b/>
          <w:color w:val="3F3F3F"/>
          <w:sz w:val="32"/>
          <w:szCs w:val="32"/>
        </w:rPr>
        <w:t xml:space="preserve"> </w:t>
      </w:r>
      <w:r w:rsidR="0070519A">
        <w:rPr>
          <w:rFonts w:ascii="Times New Roman" w:hAnsi="Times New Roman" w:cs="Times New Roman"/>
          <w:b/>
          <w:color w:val="3F3F3F"/>
          <w:sz w:val="32"/>
          <w:szCs w:val="32"/>
        </w:rPr>
        <w:t>P</w:t>
      </w:r>
      <w:r w:rsidR="006859D4">
        <w:rPr>
          <w:rFonts w:ascii="Times New Roman" w:hAnsi="Times New Roman" w:cs="Times New Roman"/>
          <w:b/>
          <w:color w:val="3F3F3F"/>
          <w:sz w:val="32"/>
          <w:szCs w:val="32"/>
        </w:rPr>
        <w:t>ractice</w:t>
      </w:r>
    </w:p>
    <w:p w14:paraId="218D48E7" w14:textId="77777777" w:rsidR="0039401B" w:rsidRDefault="0039401B" w:rsidP="0070281A">
      <w:pPr>
        <w:spacing w:after="0" w:line="240" w:lineRule="auto"/>
        <w:jc w:val="center"/>
        <w:rPr>
          <w:rFonts w:ascii="Times New Roman" w:hAnsi="Times New Roman" w:cs="Times New Roman"/>
          <w:b/>
          <w:sz w:val="32"/>
          <w:szCs w:val="32"/>
        </w:rPr>
      </w:pPr>
    </w:p>
    <w:p w14:paraId="27F5CC8D" w14:textId="29905804" w:rsidR="0070281A" w:rsidRDefault="0070281A" w:rsidP="0070281A">
      <w:pPr>
        <w:spacing w:after="0" w:line="240" w:lineRule="auto"/>
        <w:jc w:val="center"/>
        <w:rPr>
          <w:rFonts w:ascii="Times New Roman" w:hAnsi="Times New Roman" w:cs="Times New Roman"/>
          <w:b/>
          <w:color w:val="3F3F3F"/>
          <w:sz w:val="32"/>
          <w:szCs w:val="32"/>
        </w:rPr>
      </w:pPr>
      <w:r>
        <w:rPr>
          <w:rFonts w:ascii="Times New Roman" w:hAnsi="Times New Roman" w:cs="Times New Roman"/>
          <w:b/>
          <w:sz w:val="32"/>
          <w:szCs w:val="32"/>
        </w:rPr>
        <w:t xml:space="preserve">Module Code- </w:t>
      </w:r>
      <w:r>
        <w:rPr>
          <w:rFonts w:ascii="Times New Roman" w:hAnsi="Times New Roman" w:cs="Times New Roman"/>
          <w:b/>
          <w:color w:val="3F3F3F"/>
          <w:sz w:val="32"/>
          <w:szCs w:val="32"/>
        </w:rPr>
        <w:t>BS7</w:t>
      </w:r>
      <w:r w:rsidR="00743B2D">
        <w:rPr>
          <w:rFonts w:ascii="Times New Roman" w:hAnsi="Times New Roman" w:cs="Times New Roman"/>
          <w:b/>
          <w:color w:val="3F3F3F"/>
          <w:sz w:val="32"/>
          <w:szCs w:val="32"/>
        </w:rPr>
        <w:t>03</w:t>
      </w:r>
      <w:r>
        <w:rPr>
          <w:rFonts w:ascii="Times New Roman" w:hAnsi="Times New Roman" w:cs="Times New Roman"/>
          <w:b/>
          <w:color w:val="3F3F3F"/>
          <w:sz w:val="32"/>
          <w:szCs w:val="32"/>
        </w:rPr>
        <w:t>2</w:t>
      </w:r>
    </w:p>
    <w:p w14:paraId="19AC7209" w14:textId="77777777" w:rsidR="0070519A" w:rsidRDefault="0070519A" w:rsidP="00624CC4">
      <w:pPr>
        <w:spacing w:line="240" w:lineRule="auto"/>
        <w:jc w:val="center"/>
        <w:rPr>
          <w:rFonts w:ascii="Times New Roman" w:hAnsi="Times New Roman" w:cs="Times New Roman"/>
          <w:b/>
          <w:sz w:val="32"/>
          <w:szCs w:val="32"/>
        </w:rPr>
      </w:pPr>
    </w:p>
    <w:p w14:paraId="52FEC5F4" w14:textId="55D9A56F" w:rsidR="00624CC4" w:rsidRDefault="00624CC4" w:rsidP="00624CC4">
      <w:pPr>
        <w:spacing w:line="240" w:lineRule="auto"/>
        <w:jc w:val="center"/>
        <w:rPr>
          <w:rFonts w:ascii="Times New Roman" w:hAnsi="Times New Roman" w:cs="Times New Roman"/>
          <w:b/>
          <w:sz w:val="32"/>
          <w:szCs w:val="32"/>
        </w:rPr>
      </w:pPr>
      <w:r>
        <w:rPr>
          <w:rFonts w:ascii="Times New Roman" w:hAnsi="Times New Roman" w:cs="Times New Roman"/>
          <w:b/>
          <w:sz w:val="32"/>
          <w:szCs w:val="32"/>
        </w:rPr>
        <w:t xml:space="preserve">Business </w:t>
      </w:r>
      <w:r w:rsidR="0070519A">
        <w:rPr>
          <w:rFonts w:ascii="Times New Roman" w:hAnsi="Times New Roman" w:cs="Times New Roman"/>
          <w:b/>
          <w:sz w:val="32"/>
          <w:szCs w:val="32"/>
        </w:rPr>
        <w:t>C</w:t>
      </w:r>
      <w:r>
        <w:rPr>
          <w:rFonts w:ascii="Times New Roman" w:hAnsi="Times New Roman" w:cs="Times New Roman"/>
          <w:b/>
          <w:sz w:val="32"/>
          <w:szCs w:val="32"/>
        </w:rPr>
        <w:t xml:space="preserve">onsultancy </w:t>
      </w:r>
      <w:r w:rsidR="0070519A">
        <w:rPr>
          <w:rFonts w:ascii="Times New Roman" w:hAnsi="Times New Roman" w:cs="Times New Roman"/>
          <w:b/>
          <w:sz w:val="32"/>
          <w:szCs w:val="32"/>
        </w:rPr>
        <w:t>R</w:t>
      </w:r>
      <w:r>
        <w:rPr>
          <w:rFonts w:ascii="Times New Roman" w:hAnsi="Times New Roman" w:cs="Times New Roman"/>
          <w:b/>
          <w:sz w:val="32"/>
          <w:szCs w:val="32"/>
        </w:rPr>
        <w:t>eport (Element 1)</w:t>
      </w:r>
    </w:p>
    <w:p w14:paraId="1BB50CF3" w14:textId="77777777" w:rsidR="0070281A" w:rsidRDefault="0070281A" w:rsidP="0070281A">
      <w:pPr>
        <w:spacing w:line="240" w:lineRule="auto"/>
        <w:jc w:val="center"/>
        <w:rPr>
          <w:rFonts w:ascii="Times New Roman" w:hAnsi="Times New Roman" w:cs="Times New Roman"/>
          <w:b/>
          <w:sz w:val="32"/>
          <w:szCs w:val="32"/>
        </w:rPr>
      </w:pPr>
    </w:p>
    <w:p w14:paraId="0BBE83F2" w14:textId="741986C3" w:rsidR="0070281A" w:rsidRDefault="0070281A" w:rsidP="0070281A">
      <w:pPr>
        <w:spacing w:line="240" w:lineRule="auto"/>
        <w:jc w:val="center"/>
        <w:rPr>
          <w:rFonts w:ascii="Times New Roman" w:hAnsi="Times New Roman" w:cs="Times New Roman"/>
          <w:b/>
          <w:sz w:val="32"/>
          <w:szCs w:val="32"/>
        </w:rPr>
      </w:pPr>
      <w:r>
        <w:rPr>
          <w:rFonts w:ascii="Times New Roman" w:hAnsi="Times New Roman" w:cs="Times New Roman"/>
          <w:b/>
          <w:sz w:val="32"/>
          <w:szCs w:val="32"/>
        </w:rPr>
        <w:t>Type of Submission-</w:t>
      </w:r>
      <w:r w:rsidR="0070519A">
        <w:rPr>
          <w:rFonts w:ascii="Times New Roman" w:hAnsi="Times New Roman" w:cs="Times New Roman"/>
          <w:b/>
          <w:sz w:val="32"/>
          <w:szCs w:val="32"/>
        </w:rPr>
        <w:t>Individual Written Report</w:t>
      </w:r>
    </w:p>
    <w:p w14:paraId="590DA4D7" w14:textId="77777777" w:rsidR="0070281A" w:rsidRDefault="0070281A" w:rsidP="00E532BB">
      <w:pPr>
        <w:pStyle w:val="NormalWeb"/>
        <w:spacing w:before="0"/>
        <w:jc w:val="center"/>
        <w:rPr>
          <w:rFonts w:asciiTheme="minorHAnsi" w:hAnsiTheme="minorHAnsi" w:cstheme="minorHAnsi"/>
          <w:b/>
          <w:bCs/>
          <w:color w:val="000000" w:themeColor="text1"/>
          <w:sz w:val="32"/>
          <w:szCs w:val="32"/>
        </w:rPr>
      </w:pPr>
    </w:p>
    <w:p w14:paraId="08721D77" w14:textId="77777777" w:rsidR="0070281A" w:rsidRDefault="0070281A">
      <w:pPr>
        <w:rPr>
          <w:rFonts w:eastAsia="Times New Roman" w:cstheme="minorHAnsi"/>
          <w:b/>
          <w:bCs/>
          <w:color w:val="000000" w:themeColor="text1"/>
          <w:kern w:val="0"/>
          <w:sz w:val="32"/>
          <w:szCs w:val="32"/>
          <w:lang w:val="en-IN" w:eastAsia="en-IN"/>
          <w14:ligatures w14:val="none"/>
        </w:rPr>
      </w:pPr>
      <w:r>
        <w:rPr>
          <w:rFonts w:cstheme="minorHAnsi"/>
          <w:b/>
          <w:bCs/>
          <w:color w:val="000000" w:themeColor="text1"/>
          <w:sz w:val="32"/>
          <w:szCs w:val="32"/>
        </w:rPr>
        <w:br w:type="page"/>
      </w:r>
    </w:p>
    <w:p w14:paraId="11EF2DCE" w14:textId="7B79BDC5" w:rsidR="00E532BB" w:rsidRDefault="00E532BB" w:rsidP="00E532BB">
      <w:pPr>
        <w:pStyle w:val="NormalWeb"/>
        <w:spacing w:before="0"/>
        <w:jc w:val="center"/>
        <w:rPr>
          <w:rFonts w:asciiTheme="minorHAnsi" w:hAnsiTheme="minorHAnsi" w:cstheme="minorHAnsi"/>
          <w:b/>
          <w:bCs/>
          <w:color w:val="000000" w:themeColor="text1"/>
          <w:sz w:val="32"/>
          <w:szCs w:val="32"/>
        </w:rPr>
      </w:pPr>
      <w:r>
        <w:rPr>
          <w:rFonts w:asciiTheme="minorHAnsi" w:hAnsiTheme="minorHAnsi" w:cstheme="minorHAnsi"/>
          <w:b/>
          <w:bCs/>
          <w:color w:val="000000" w:themeColor="text1"/>
          <w:sz w:val="32"/>
          <w:szCs w:val="32"/>
        </w:rPr>
        <w:lastRenderedPageBreak/>
        <w:t>Table of content</w:t>
      </w:r>
    </w:p>
    <w:p w14:paraId="742B9539" w14:textId="792648D0" w:rsidR="007C62A8" w:rsidRPr="00D91362" w:rsidRDefault="002664CC" w:rsidP="00070125">
      <w:pPr>
        <w:spacing w:line="240" w:lineRule="auto"/>
        <w:rPr>
          <w:rFonts w:cstheme="minorHAnsi"/>
          <w:color w:val="000000" w:themeColor="text1"/>
          <w:sz w:val="24"/>
          <w:szCs w:val="24"/>
        </w:rPr>
      </w:pPr>
      <w:r w:rsidRPr="00D91362">
        <w:rPr>
          <w:rFonts w:cstheme="minorHAnsi"/>
          <w:color w:val="000000" w:themeColor="text1"/>
          <w:sz w:val="24"/>
          <w:szCs w:val="24"/>
        </w:rPr>
        <w:t>Executive summar</w:t>
      </w:r>
      <w:r w:rsidR="007C62A8" w:rsidRPr="00D91362">
        <w:rPr>
          <w:rFonts w:cstheme="minorHAnsi"/>
          <w:color w:val="000000" w:themeColor="text1"/>
          <w:sz w:val="24"/>
          <w:szCs w:val="24"/>
        </w:rPr>
        <w:t>y</w:t>
      </w:r>
      <w:r w:rsidR="00070125">
        <w:rPr>
          <w:rFonts w:cstheme="minorHAnsi"/>
          <w:color w:val="000000" w:themeColor="text1"/>
          <w:sz w:val="24"/>
          <w:szCs w:val="24"/>
        </w:rPr>
        <w:t>……………………………………………………………………………………………………………</w:t>
      </w:r>
      <w:r w:rsidR="0002149B">
        <w:rPr>
          <w:rFonts w:cstheme="minorHAnsi"/>
          <w:color w:val="000000" w:themeColor="text1"/>
          <w:sz w:val="24"/>
          <w:szCs w:val="24"/>
        </w:rPr>
        <w:t>…3</w:t>
      </w:r>
    </w:p>
    <w:p w14:paraId="176DC6A5" w14:textId="0D80C9C6" w:rsidR="00070125" w:rsidRPr="00D91362" w:rsidRDefault="007C62A8" w:rsidP="00070125">
      <w:pPr>
        <w:spacing w:line="240" w:lineRule="auto"/>
        <w:rPr>
          <w:rFonts w:cstheme="minorHAnsi"/>
          <w:color w:val="000000" w:themeColor="text1"/>
          <w:sz w:val="24"/>
          <w:szCs w:val="24"/>
        </w:rPr>
      </w:pPr>
      <w:r w:rsidRPr="00D91362">
        <w:rPr>
          <w:rFonts w:cstheme="minorHAnsi"/>
          <w:color w:val="000000" w:themeColor="text1"/>
          <w:sz w:val="24"/>
          <w:szCs w:val="24"/>
        </w:rPr>
        <w:t xml:space="preserve">Description of company </w:t>
      </w:r>
      <w:r w:rsidR="00070125">
        <w:rPr>
          <w:rFonts w:cstheme="minorHAnsi"/>
          <w:color w:val="000000" w:themeColor="text1"/>
          <w:sz w:val="24"/>
          <w:szCs w:val="24"/>
        </w:rPr>
        <w:t>………………………………………………………………………………………………………</w:t>
      </w:r>
      <w:r w:rsidR="001A6868">
        <w:rPr>
          <w:rFonts w:cstheme="minorHAnsi"/>
          <w:color w:val="000000" w:themeColor="text1"/>
          <w:sz w:val="24"/>
          <w:szCs w:val="24"/>
        </w:rPr>
        <w:t>.</w:t>
      </w:r>
      <w:r w:rsidR="0002149B">
        <w:rPr>
          <w:rFonts w:cstheme="minorHAnsi"/>
          <w:color w:val="000000" w:themeColor="text1"/>
          <w:sz w:val="24"/>
          <w:szCs w:val="24"/>
        </w:rPr>
        <w:t>4</w:t>
      </w:r>
    </w:p>
    <w:p w14:paraId="4DB9FF49" w14:textId="7A8C8424" w:rsidR="00070125" w:rsidRPr="00D91362" w:rsidRDefault="00632168" w:rsidP="00070125">
      <w:pPr>
        <w:spacing w:line="240" w:lineRule="auto"/>
        <w:rPr>
          <w:rFonts w:cstheme="minorHAnsi"/>
          <w:color w:val="000000" w:themeColor="text1"/>
          <w:sz w:val="24"/>
          <w:szCs w:val="24"/>
        </w:rPr>
      </w:pPr>
      <w:r w:rsidRPr="00D91362">
        <w:rPr>
          <w:rFonts w:cstheme="minorHAnsi"/>
          <w:color w:val="000000" w:themeColor="text1"/>
          <w:sz w:val="24"/>
          <w:szCs w:val="24"/>
        </w:rPr>
        <w:t>Consultancy</w:t>
      </w:r>
      <w:r w:rsidR="007C62A8" w:rsidRPr="00D91362">
        <w:rPr>
          <w:rFonts w:cstheme="minorHAnsi"/>
          <w:color w:val="000000" w:themeColor="text1"/>
          <w:sz w:val="24"/>
          <w:szCs w:val="24"/>
        </w:rPr>
        <w:t xml:space="preserve"> project objective</w:t>
      </w:r>
      <w:r w:rsidR="00070125">
        <w:rPr>
          <w:rFonts w:cstheme="minorHAnsi"/>
          <w:color w:val="000000" w:themeColor="text1"/>
          <w:sz w:val="24"/>
          <w:szCs w:val="24"/>
        </w:rPr>
        <w:t>………………………………………………………………………………………………</w:t>
      </w:r>
      <w:r w:rsidR="00C90D58">
        <w:rPr>
          <w:rFonts w:cstheme="minorHAnsi"/>
          <w:color w:val="000000" w:themeColor="text1"/>
          <w:sz w:val="24"/>
          <w:szCs w:val="24"/>
        </w:rPr>
        <w:t>.5</w:t>
      </w:r>
    </w:p>
    <w:p w14:paraId="3DA219AD" w14:textId="440C0F82" w:rsidR="00070125" w:rsidRPr="00D91362" w:rsidRDefault="00632168" w:rsidP="00070125">
      <w:pPr>
        <w:spacing w:line="240" w:lineRule="auto"/>
        <w:rPr>
          <w:rFonts w:cstheme="minorHAnsi"/>
          <w:color w:val="000000" w:themeColor="text1"/>
          <w:sz w:val="24"/>
          <w:szCs w:val="24"/>
        </w:rPr>
      </w:pPr>
      <w:r w:rsidRPr="00D91362">
        <w:rPr>
          <w:rFonts w:cstheme="minorHAnsi"/>
          <w:color w:val="000000" w:themeColor="text1"/>
          <w:sz w:val="24"/>
          <w:szCs w:val="24"/>
        </w:rPr>
        <w:t>Research methodology</w:t>
      </w:r>
      <w:r w:rsidR="00070125">
        <w:rPr>
          <w:rFonts w:cstheme="minorHAnsi"/>
          <w:color w:val="000000" w:themeColor="text1"/>
          <w:sz w:val="24"/>
          <w:szCs w:val="24"/>
        </w:rPr>
        <w:t>………………………………………………………………………………………………………</w:t>
      </w:r>
      <w:r w:rsidR="00C90D58">
        <w:rPr>
          <w:rFonts w:cstheme="minorHAnsi"/>
          <w:color w:val="000000" w:themeColor="text1"/>
          <w:sz w:val="24"/>
          <w:szCs w:val="24"/>
        </w:rPr>
        <w:t>…7</w:t>
      </w:r>
    </w:p>
    <w:p w14:paraId="09ACCFB0" w14:textId="1228E390" w:rsidR="00070125" w:rsidRPr="00D91362" w:rsidRDefault="00D91362" w:rsidP="00070125">
      <w:pPr>
        <w:spacing w:line="240" w:lineRule="auto"/>
        <w:rPr>
          <w:rFonts w:cstheme="minorHAnsi"/>
          <w:color w:val="000000" w:themeColor="text1"/>
          <w:sz w:val="24"/>
          <w:szCs w:val="24"/>
        </w:rPr>
      </w:pPr>
      <w:r w:rsidRPr="00D91362">
        <w:rPr>
          <w:rFonts w:cstheme="minorHAnsi"/>
          <w:color w:val="000000" w:themeColor="text1"/>
          <w:sz w:val="24"/>
          <w:szCs w:val="24"/>
        </w:rPr>
        <w:t>Research findings</w:t>
      </w:r>
      <w:r w:rsidR="00070125">
        <w:rPr>
          <w:rFonts w:cstheme="minorHAnsi"/>
          <w:color w:val="000000" w:themeColor="text1"/>
          <w:sz w:val="24"/>
          <w:szCs w:val="24"/>
        </w:rPr>
        <w:t>………………………………………………………………………………………………………………</w:t>
      </w:r>
      <w:r w:rsidR="00FA4AEE">
        <w:rPr>
          <w:rFonts w:cstheme="minorHAnsi"/>
          <w:color w:val="000000" w:themeColor="text1"/>
          <w:sz w:val="24"/>
          <w:szCs w:val="24"/>
        </w:rPr>
        <w:t>.10</w:t>
      </w:r>
    </w:p>
    <w:p w14:paraId="1377EF1F" w14:textId="6491EB2A" w:rsidR="00070125" w:rsidRPr="00D91362" w:rsidRDefault="00D91362" w:rsidP="00070125">
      <w:pPr>
        <w:spacing w:line="240" w:lineRule="auto"/>
        <w:rPr>
          <w:rFonts w:cstheme="minorHAnsi"/>
          <w:color w:val="000000" w:themeColor="text1"/>
          <w:sz w:val="24"/>
          <w:szCs w:val="24"/>
        </w:rPr>
      </w:pPr>
      <w:r w:rsidRPr="00D91362">
        <w:rPr>
          <w:rFonts w:cstheme="minorHAnsi"/>
          <w:sz w:val="24"/>
          <w:szCs w:val="24"/>
        </w:rPr>
        <w:t>Recommendations</w:t>
      </w:r>
      <w:r w:rsidR="00070125">
        <w:rPr>
          <w:rFonts w:cstheme="minorHAnsi"/>
          <w:color w:val="000000" w:themeColor="text1"/>
          <w:sz w:val="24"/>
          <w:szCs w:val="24"/>
        </w:rPr>
        <w:t>………………………………………………………………………………………………………………</w:t>
      </w:r>
      <w:r w:rsidR="00FA4AEE">
        <w:rPr>
          <w:rFonts w:cstheme="minorHAnsi"/>
          <w:color w:val="000000" w:themeColor="text1"/>
          <w:sz w:val="24"/>
          <w:szCs w:val="24"/>
        </w:rPr>
        <w:t>13</w:t>
      </w:r>
      <w:r w:rsidR="00070125" w:rsidRPr="00D91362">
        <w:rPr>
          <w:rFonts w:cstheme="minorHAnsi"/>
          <w:color w:val="000000" w:themeColor="text1"/>
          <w:sz w:val="24"/>
          <w:szCs w:val="24"/>
        </w:rPr>
        <w:t xml:space="preserve"> </w:t>
      </w:r>
    </w:p>
    <w:p w14:paraId="63517474" w14:textId="706B114D" w:rsidR="00070125" w:rsidRPr="00D91362" w:rsidRDefault="00D91362" w:rsidP="00070125">
      <w:pPr>
        <w:spacing w:line="240" w:lineRule="auto"/>
        <w:rPr>
          <w:rFonts w:cstheme="minorHAnsi"/>
          <w:color w:val="000000" w:themeColor="text1"/>
          <w:sz w:val="24"/>
          <w:szCs w:val="24"/>
        </w:rPr>
      </w:pPr>
      <w:r w:rsidRPr="00D91362">
        <w:rPr>
          <w:rFonts w:cstheme="minorHAnsi"/>
          <w:color w:val="000000" w:themeColor="text1"/>
          <w:sz w:val="24"/>
          <w:szCs w:val="24"/>
        </w:rPr>
        <w:t>References</w:t>
      </w:r>
      <w:r w:rsidR="00070125">
        <w:rPr>
          <w:rFonts w:cstheme="minorHAnsi"/>
          <w:color w:val="000000" w:themeColor="text1"/>
          <w:sz w:val="24"/>
          <w:szCs w:val="24"/>
        </w:rPr>
        <w:t>…………………………………………………………………………………………………………………</w:t>
      </w:r>
      <w:r w:rsidR="00FA4AEE">
        <w:rPr>
          <w:rFonts w:cstheme="minorHAnsi"/>
          <w:color w:val="000000" w:themeColor="text1"/>
          <w:sz w:val="24"/>
          <w:szCs w:val="24"/>
        </w:rPr>
        <w:t>……….14</w:t>
      </w:r>
    </w:p>
    <w:p w14:paraId="2DD5CD7E" w14:textId="3E338B60" w:rsidR="00070125" w:rsidRPr="00D91362" w:rsidRDefault="00D91362" w:rsidP="00070125">
      <w:pPr>
        <w:spacing w:line="240" w:lineRule="auto"/>
        <w:rPr>
          <w:rFonts w:cstheme="minorHAnsi"/>
          <w:color w:val="000000" w:themeColor="text1"/>
          <w:sz w:val="24"/>
          <w:szCs w:val="24"/>
        </w:rPr>
      </w:pPr>
      <w:r w:rsidRPr="00D91362">
        <w:rPr>
          <w:rFonts w:cstheme="minorHAnsi"/>
          <w:sz w:val="24"/>
          <w:szCs w:val="24"/>
        </w:rPr>
        <w:t>Appendix</w:t>
      </w:r>
      <w:r w:rsidR="00070125">
        <w:rPr>
          <w:rFonts w:cstheme="minorHAnsi"/>
          <w:color w:val="000000" w:themeColor="text1"/>
          <w:sz w:val="24"/>
          <w:szCs w:val="24"/>
        </w:rPr>
        <w:t>…………………………………………………………………………………………………………………</w:t>
      </w:r>
      <w:r w:rsidR="00FA4AEE">
        <w:rPr>
          <w:rFonts w:cstheme="minorHAnsi"/>
          <w:color w:val="000000" w:themeColor="text1"/>
          <w:sz w:val="24"/>
          <w:szCs w:val="24"/>
        </w:rPr>
        <w:t>………….15</w:t>
      </w:r>
    </w:p>
    <w:p w14:paraId="067F4095" w14:textId="7E392C38" w:rsidR="00D91362" w:rsidRPr="00D91362" w:rsidRDefault="00D91362" w:rsidP="00070125">
      <w:pPr>
        <w:pStyle w:val="NormalWeb"/>
        <w:rPr>
          <w:rFonts w:asciiTheme="minorHAnsi" w:hAnsiTheme="minorHAnsi" w:cstheme="minorHAnsi"/>
        </w:rPr>
      </w:pPr>
    </w:p>
    <w:p w14:paraId="2BF2C0E0" w14:textId="508996CD" w:rsidR="00E532BB" w:rsidRDefault="00E532BB">
      <w:pPr>
        <w:rPr>
          <w:rFonts w:eastAsia="Times New Roman" w:cstheme="minorHAnsi"/>
          <w:b/>
          <w:bCs/>
          <w:color w:val="000000" w:themeColor="text1"/>
          <w:kern w:val="0"/>
          <w:sz w:val="32"/>
          <w:szCs w:val="32"/>
          <w:lang w:val="en-IN" w:eastAsia="en-IN"/>
          <w14:ligatures w14:val="none"/>
        </w:rPr>
      </w:pPr>
      <w:r>
        <w:rPr>
          <w:rFonts w:cstheme="minorHAnsi"/>
          <w:b/>
          <w:bCs/>
          <w:color w:val="000000" w:themeColor="text1"/>
          <w:sz w:val="32"/>
          <w:szCs w:val="32"/>
        </w:rPr>
        <w:br w:type="page"/>
      </w:r>
    </w:p>
    <w:p w14:paraId="2DFF1D22" w14:textId="1FBCE039" w:rsidR="00BC6CC1" w:rsidRPr="004D1881" w:rsidRDefault="00BC6CC1" w:rsidP="00BC6CC1">
      <w:pPr>
        <w:pStyle w:val="NormalWeb"/>
        <w:spacing w:before="0"/>
        <w:rPr>
          <w:rFonts w:asciiTheme="minorHAnsi" w:hAnsiTheme="minorHAnsi" w:cstheme="minorHAnsi"/>
          <w:b/>
          <w:bCs/>
          <w:color w:val="000000" w:themeColor="text1"/>
          <w:sz w:val="32"/>
          <w:szCs w:val="32"/>
        </w:rPr>
      </w:pPr>
      <w:r w:rsidRPr="004D1881">
        <w:rPr>
          <w:rFonts w:asciiTheme="minorHAnsi" w:hAnsiTheme="minorHAnsi" w:cstheme="minorHAnsi"/>
          <w:b/>
          <w:bCs/>
          <w:color w:val="000000" w:themeColor="text1"/>
          <w:sz w:val="32"/>
          <w:szCs w:val="32"/>
        </w:rPr>
        <w:lastRenderedPageBreak/>
        <w:t xml:space="preserve">Executive summary </w:t>
      </w:r>
    </w:p>
    <w:p w14:paraId="2F0D7A5E" w14:textId="78AB91B3" w:rsidR="00BC6CC1" w:rsidRPr="002A487A" w:rsidRDefault="00BC6CC1" w:rsidP="00BC6CC1">
      <w:pPr>
        <w:pStyle w:val="NormalWeb"/>
        <w:rPr>
          <w:rFonts w:asciiTheme="minorHAnsi" w:hAnsiTheme="minorHAnsi" w:cstheme="minorHAnsi"/>
          <w:color w:val="000000" w:themeColor="text1"/>
        </w:rPr>
      </w:pPr>
      <w:r w:rsidRPr="002A487A">
        <w:rPr>
          <w:rFonts w:asciiTheme="minorHAnsi" w:hAnsiTheme="minorHAnsi" w:cstheme="minorHAnsi"/>
          <w:color w:val="000000" w:themeColor="text1"/>
        </w:rPr>
        <w:t xml:space="preserve">McGraw Hill, a globally recognized leader in educational technology, is embarking on a strategic expansion into the Nordic education markets. This ambitious </w:t>
      </w:r>
      <w:r w:rsidR="004D1881" w:rsidRPr="002A487A">
        <w:rPr>
          <w:rFonts w:asciiTheme="minorHAnsi" w:hAnsiTheme="minorHAnsi" w:cstheme="minorHAnsi"/>
          <w:color w:val="000000" w:themeColor="text1"/>
        </w:rPr>
        <w:t>endeavour</w:t>
      </w:r>
      <w:r w:rsidRPr="002A487A">
        <w:rPr>
          <w:rFonts w:asciiTheme="minorHAnsi" w:hAnsiTheme="minorHAnsi" w:cstheme="minorHAnsi"/>
          <w:color w:val="000000" w:themeColor="text1"/>
        </w:rPr>
        <w:t xml:space="preserve"> demands a meticulous and data-driven approach to navigate the diverse and dynamic educational landscape of the Nordic region effectively. To address this challenge, McGraw Hill has adopted a dual-pronged strategy, harnessing the power of SWOT analysis (Strengths, Weaknesses, Opportunities, Threats) and a Go-To-Market (GTM) strategy.</w:t>
      </w:r>
    </w:p>
    <w:p w14:paraId="037FAF36" w14:textId="77777777" w:rsidR="00E65FC9" w:rsidRDefault="00E65FC9" w:rsidP="00BC6CC1">
      <w:pPr>
        <w:pStyle w:val="NormalWeb"/>
        <w:rPr>
          <w:rFonts w:asciiTheme="minorHAnsi" w:hAnsiTheme="minorHAnsi" w:cstheme="minorHAnsi"/>
          <w:color w:val="000000" w:themeColor="text1"/>
        </w:rPr>
      </w:pPr>
      <w:r w:rsidRPr="00E65FC9">
        <w:rPr>
          <w:rFonts w:asciiTheme="minorHAnsi" w:hAnsiTheme="minorHAnsi" w:cstheme="minorHAnsi"/>
          <w:color w:val="000000" w:themeColor="text1"/>
        </w:rPr>
        <w:t>McGraw Hill's data collection and analysis efforts are built around a SWOT analysis. It offers a well-organized framework for compiling and evaluating data on both internal and external dimensions. By thoroughly analysing its own strengths and weaknesses and the opportunities and threats that exist in the Nordic education markets, McGraw Hill is better able to understand its own weaknesses and strengths.</w:t>
      </w:r>
    </w:p>
    <w:p w14:paraId="628768B3" w14:textId="77777777" w:rsidR="005B50A5" w:rsidRDefault="005B50A5" w:rsidP="00BC6CC1">
      <w:pPr>
        <w:pStyle w:val="NormalWeb"/>
        <w:rPr>
          <w:rFonts w:asciiTheme="minorHAnsi" w:hAnsiTheme="minorHAnsi" w:cstheme="minorHAnsi"/>
          <w:color w:val="000000" w:themeColor="text1"/>
        </w:rPr>
      </w:pPr>
      <w:r w:rsidRPr="005B50A5">
        <w:rPr>
          <w:rFonts w:asciiTheme="minorHAnsi" w:hAnsiTheme="minorHAnsi" w:cstheme="minorHAnsi"/>
          <w:color w:val="000000" w:themeColor="text1"/>
        </w:rPr>
        <w:t>The ability of the company to make wise decisions is improved by this data-driven approach, which makes sure that strategic decisions are supported by empirical evidence. The use of SWOT analysis in developing customised strategies for each Nordic nation enables McGraw Hill to take advantage of market-specific opportunities and address particular challenges. Additionally, by spotting potential threats and enabling proactive measures to thwart them, it plays a crucial part in risk mitigation.</w:t>
      </w:r>
    </w:p>
    <w:p w14:paraId="7ACC9E54" w14:textId="08F9643F" w:rsidR="00BC6CC1" w:rsidRPr="002A487A" w:rsidRDefault="00BC6CC1" w:rsidP="00BC6CC1">
      <w:pPr>
        <w:pStyle w:val="NormalWeb"/>
        <w:rPr>
          <w:rFonts w:asciiTheme="minorHAnsi" w:hAnsiTheme="minorHAnsi" w:cstheme="minorHAnsi"/>
          <w:color w:val="000000" w:themeColor="text1"/>
        </w:rPr>
      </w:pPr>
      <w:r w:rsidRPr="002A487A">
        <w:rPr>
          <w:rFonts w:asciiTheme="minorHAnsi" w:hAnsiTheme="minorHAnsi" w:cstheme="minorHAnsi"/>
          <w:color w:val="000000" w:themeColor="text1"/>
        </w:rPr>
        <w:t>Complementing SWOT analysis, the GTM strategy is pivotal in translating data into actionable insights. GTM strategies are rooted in market segmentation, value proposition creation, distribution channel optimization, pricing strategies, and data-driven marketing tactics. Data plays a central role in each of these aspects, guiding McGraw Hill's efforts to penetrate the Nordic education markets effectively.</w:t>
      </w:r>
    </w:p>
    <w:p w14:paraId="1C81B68B" w14:textId="77777777" w:rsidR="00BC6CC1" w:rsidRPr="002A487A" w:rsidRDefault="00BC6CC1" w:rsidP="00BC6CC1">
      <w:pPr>
        <w:pStyle w:val="NormalWeb"/>
        <w:rPr>
          <w:rFonts w:asciiTheme="minorHAnsi" w:hAnsiTheme="minorHAnsi" w:cstheme="minorHAnsi"/>
          <w:color w:val="000000" w:themeColor="text1"/>
        </w:rPr>
      </w:pPr>
      <w:r w:rsidRPr="002A487A">
        <w:rPr>
          <w:rFonts w:asciiTheme="minorHAnsi" w:hAnsiTheme="minorHAnsi" w:cstheme="minorHAnsi"/>
          <w:color w:val="000000" w:themeColor="text1"/>
        </w:rPr>
        <w:t>The Nordic region's educational landscape is rich and diverse, with distinct preferences and requirements in each country. Leveraging data, McGraw Hill tailors its value proposition to meet the unique needs of educators and students in this region, ensuring its offerings resonate deeply with the target audience.</w:t>
      </w:r>
    </w:p>
    <w:p w14:paraId="6043EBC1" w14:textId="77777777" w:rsidR="00BC6CC1" w:rsidRPr="002A487A" w:rsidRDefault="00BC6CC1" w:rsidP="00BC6CC1">
      <w:pPr>
        <w:pStyle w:val="NormalWeb"/>
        <w:rPr>
          <w:rFonts w:asciiTheme="minorHAnsi" w:hAnsiTheme="minorHAnsi" w:cstheme="minorHAnsi"/>
          <w:color w:val="000000" w:themeColor="text1"/>
        </w:rPr>
      </w:pPr>
      <w:r w:rsidRPr="002A487A">
        <w:rPr>
          <w:rFonts w:asciiTheme="minorHAnsi" w:hAnsiTheme="minorHAnsi" w:cstheme="minorHAnsi"/>
          <w:color w:val="000000" w:themeColor="text1"/>
        </w:rPr>
        <w:t>Furthermore, GTM strategies enable McGraw Hill to make informed decisions regarding distribution channels, pricing models, and marketing campaigns, all while considering the nuanced market conditions and competitive dynamics of the Nordic region.</w:t>
      </w:r>
    </w:p>
    <w:p w14:paraId="78F280C4" w14:textId="77777777" w:rsidR="006D09AC" w:rsidRDefault="00BC6CC1" w:rsidP="006D09AC">
      <w:pPr>
        <w:pStyle w:val="NormalWeb"/>
        <w:spacing w:before="0"/>
        <w:rPr>
          <w:rFonts w:asciiTheme="minorHAnsi" w:hAnsiTheme="minorHAnsi" w:cstheme="minorHAnsi"/>
          <w:color w:val="000000" w:themeColor="text1"/>
        </w:rPr>
      </w:pPr>
      <w:r w:rsidRPr="002A487A">
        <w:rPr>
          <w:rFonts w:asciiTheme="minorHAnsi" w:hAnsiTheme="minorHAnsi" w:cstheme="minorHAnsi"/>
          <w:color w:val="000000" w:themeColor="text1"/>
        </w:rPr>
        <w:t xml:space="preserve">In conclusion, </w:t>
      </w:r>
      <w:r w:rsidRPr="00873E15">
        <w:rPr>
          <w:rFonts w:asciiTheme="minorHAnsi" w:hAnsiTheme="minorHAnsi" w:cstheme="minorHAnsi"/>
          <w:color w:val="000000" w:themeColor="text1"/>
        </w:rPr>
        <w:t>McGraw Hill plans to enhance student engagement by integrating gamified learning modules developed in collaboration with local game developers. A strong emphasis on sustainability is also evident in their educational materials, aligning with the Nordic region's eco-conscious values. The company aims to differentiate itself through data-driven personalization, tailoring learning experiences to individual student progress. Exploring blockchain technology for secure educational certification, establishing a Nordic research hub, empowering teachers with digital tools, and promoting community engagement through grants further solidify McGraw Hill's commitment to the Nordic education landscape.</w:t>
      </w:r>
    </w:p>
    <w:p w14:paraId="411859E2" w14:textId="3056471A" w:rsidR="0094179A" w:rsidRPr="006D09AC" w:rsidRDefault="0094179A" w:rsidP="006D09AC">
      <w:pPr>
        <w:pStyle w:val="NormalWeb"/>
        <w:spacing w:before="0"/>
        <w:rPr>
          <w:rFonts w:asciiTheme="minorHAnsi" w:hAnsiTheme="minorHAnsi" w:cstheme="minorHAnsi"/>
          <w:color w:val="000000" w:themeColor="text1"/>
        </w:rPr>
      </w:pPr>
      <w:r w:rsidRPr="004E7F32">
        <w:rPr>
          <w:rFonts w:asciiTheme="minorHAnsi" w:hAnsiTheme="minorHAnsi" w:cstheme="minorHAnsi"/>
          <w:b/>
          <w:bCs/>
          <w:color w:val="000000" w:themeColor="text1"/>
          <w:sz w:val="32"/>
          <w:szCs w:val="32"/>
          <w:u w:val="single"/>
        </w:rPr>
        <w:lastRenderedPageBreak/>
        <w:t>Description of company</w:t>
      </w:r>
    </w:p>
    <w:p w14:paraId="46E4BA7F" w14:textId="3FABE90C" w:rsidR="009A7D31" w:rsidRPr="009A7D31" w:rsidRDefault="009A7D31" w:rsidP="009A7D31">
      <w:pPr>
        <w:pStyle w:val="NormalWeb"/>
        <w:tabs>
          <w:tab w:val="left" w:pos="7344"/>
        </w:tabs>
        <w:rPr>
          <w:rFonts w:asciiTheme="minorHAnsi" w:hAnsiTheme="minorHAnsi" w:cstheme="minorHAnsi"/>
          <w:color w:val="000000" w:themeColor="text1"/>
        </w:rPr>
      </w:pPr>
      <w:r w:rsidRPr="009A7D31">
        <w:rPr>
          <w:rFonts w:asciiTheme="minorHAnsi" w:hAnsiTheme="minorHAnsi" w:cstheme="minorHAnsi"/>
          <w:color w:val="000000" w:themeColor="text1"/>
        </w:rPr>
        <w:t>McGraw Hill, a pioneering educational publishing company, has been shaping the world of learning for over a century. Founded in 1888 by James H. McGraw and John A. Hill, the company initially focused on engineering textbooks but rapidly expanded its horizons. This assignment delves into the remarkable journey of McGraw Hill, highlighting its pivotal role in educational publishing and its adaptation to the digital age.</w:t>
      </w:r>
    </w:p>
    <w:p w14:paraId="4F733FA4" w14:textId="77777777" w:rsidR="0017246E" w:rsidRDefault="009A7D31" w:rsidP="009A7D31">
      <w:pPr>
        <w:pStyle w:val="NormalWeb"/>
        <w:rPr>
          <w:rFonts w:asciiTheme="minorHAnsi" w:hAnsiTheme="minorHAnsi" w:cstheme="minorHAnsi"/>
          <w:color w:val="000000" w:themeColor="text1"/>
        </w:rPr>
      </w:pPr>
      <w:r w:rsidRPr="009A7D31">
        <w:rPr>
          <w:rFonts w:asciiTheme="minorHAnsi" w:hAnsiTheme="minorHAnsi" w:cstheme="minorHAnsi"/>
          <w:color w:val="000000" w:themeColor="text1"/>
        </w:rPr>
        <w:t>McGraw Hill's journey began with a modest vision - publishing engineering textbooks. However, its founders' aspirations soon led to an expansion into various educational materials. Over the years, the company gained recognition for producing high-quality textbooks covering a wide array of subjects, from mathematics and science to social studies and language arts. Its materials have become staples in both K-12 education and higher education institutions.</w:t>
      </w:r>
    </w:p>
    <w:p w14:paraId="412BC11C" w14:textId="135D4568" w:rsidR="009A7D31" w:rsidRPr="009A7D31" w:rsidRDefault="009A7D31" w:rsidP="009A7D31">
      <w:pPr>
        <w:pStyle w:val="NormalWeb"/>
        <w:rPr>
          <w:rFonts w:asciiTheme="minorHAnsi" w:hAnsiTheme="minorHAnsi" w:cstheme="minorHAnsi"/>
          <w:color w:val="000000" w:themeColor="text1"/>
        </w:rPr>
      </w:pPr>
      <w:r w:rsidRPr="009A7D31">
        <w:rPr>
          <w:rFonts w:asciiTheme="minorHAnsi" w:hAnsiTheme="minorHAnsi" w:cstheme="minorHAnsi"/>
          <w:color w:val="000000" w:themeColor="text1"/>
        </w:rPr>
        <w:t>McGraw Hill's mission is to unlock the potential of every learner at every stage of life. This vision embraces the recognition that every individual's educational journey is unique and enriched by their diverse experiences. As a global education company, McGraw Hill is unwavering in its dedication to collaborating with educators, learners, and professionals to make the full benefits of education accessible to all, regardless of their starting point. This commitment is exemplified through the provision of quality content and flexible tools that cater to a wide array of teaching and learning styles.</w:t>
      </w:r>
    </w:p>
    <w:p w14:paraId="713FB9DA" w14:textId="1FB93E83" w:rsidR="009A7D31" w:rsidRPr="009A7D31" w:rsidRDefault="009A7D31" w:rsidP="009A7D31">
      <w:pPr>
        <w:pStyle w:val="NormalWeb"/>
        <w:rPr>
          <w:rFonts w:asciiTheme="minorHAnsi" w:hAnsiTheme="minorHAnsi" w:cstheme="minorHAnsi"/>
          <w:color w:val="000000" w:themeColor="text1"/>
        </w:rPr>
      </w:pPr>
      <w:r w:rsidRPr="009A7D31">
        <w:rPr>
          <w:rFonts w:asciiTheme="minorHAnsi" w:hAnsiTheme="minorHAnsi" w:cstheme="minorHAnsi"/>
          <w:color w:val="000000" w:themeColor="text1"/>
        </w:rPr>
        <w:t>Throughout its history, McGraw Hill has celebrated numerous milestones and strategic acquisitions that have significantly shaped its trajectory. In 1989, they made a significant stride by introducing the first computerized publishing system, allowing instructors to customize textbooks to meet the specific needs of their students. The year 2009 marked a pivotal moment with the launch of McGraw Hill Connect, an all-digital teaching and learning platform that revolutionized how instructors and learners interacted with course materials in higher education</w:t>
      </w:r>
      <w:r w:rsidR="00435E2F">
        <w:rPr>
          <w:rFonts w:asciiTheme="minorHAnsi" w:hAnsiTheme="minorHAnsi" w:cstheme="minorHAnsi"/>
          <w:color w:val="000000" w:themeColor="text1"/>
        </w:rPr>
        <w:t xml:space="preserve"> </w:t>
      </w:r>
      <w:proofErr w:type="gramStart"/>
      <w:r w:rsidR="00435E2F">
        <w:rPr>
          <w:rFonts w:asciiTheme="minorHAnsi" w:hAnsiTheme="minorHAnsi" w:cstheme="minorHAnsi"/>
          <w:color w:val="000000" w:themeColor="text1"/>
        </w:rPr>
        <w:t>(</w:t>
      </w:r>
      <w:r w:rsidR="00435E2F" w:rsidRPr="00435E2F">
        <w:rPr>
          <w:rFonts w:asciiTheme="minorHAnsi" w:hAnsiTheme="minorHAnsi" w:cstheme="minorHAnsi"/>
          <w:color w:val="000000" w:themeColor="text1"/>
        </w:rPr>
        <w:t xml:space="preserve"> </w:t>
      </w:r>
      <w:r w:rsidR="00435E2F" w:rsidRPr="008E2D0F">
        <w:rPr>
          <w:rFonts w:asciiTheme="minorHAnsi" w:hAnsiTheme="minorHAnsi" w:cstheme="minorHAnsi"/>
          <w:color w:val="000000" w:themeColor="text1"/>
        </w:rPr>
        <w:t>Magill</w:t>
      </w:r>
      <w:proofErr w:type="gramEnd"/>
      <w:r w:rsidR="00435E2F" w:rsidRPr="008E2D0F">
        <w:rPr>
          <w:rFonts w:asciiTheme="minorHAnsi" w:hAnsiTheme="minorHAnsi" w:cstheme="minorHAnsi"/>
          <w:color w:val="000000" w:themeColor="text1"/>
        </w:rPr>
        <w:t>, R. and Anderson, D.I., 2010</w:t>
      </w:r>
      <w:r w:rsidR="00435E2F">
        <w:rPr>
          <w:rFonts w:asciiTheme="minorHAnsi" w:hAnsiTheme="minorHAnsi" w:cstheme="minorHAnsi"/>
          <w:color w:val="000000" w:themeColor="text1"/>
          <w:sz w:val="26"/>
          <w:szCs w:val="26"/>
        </w:rPr>
        <w:t>)</w:t>
      </w:r>
      <w:r w:rsidR="008262C8">
        <w:rPr>
          <w:rFonts w:asciiTheme="minorHAnsi" w:hAnsiTheme="minorHAnsi" w:cstheme="minorHAnsi"/>
          <w:color w:val="000000" w:themeColor="text1"/>
          <w:sz w:val="26"/>
          <w:szCs w:val="26"/>
        </w:rPr>
        <w:t>.</w:t>
      </w:r>
      <w:r w:rsidRPr="009A7D31">
        <w:rPr>
          <w:rFonts w:asciiTheme="minorHAnsi" w:hAnsiTheme="minorHAnsi" w:cstheme="minorHAnsi"/>
          <w:color w:val="000000" w:themeColor="text1"/>
        </w:rPr>
        <w:t xml:space="preserve"> </w:t>
      </w:r>
    </w:p>
    <w:p w14:paraId="3E67E999" w14:textId="2D8A2034" w:rsidR="009A7D31" w:rsidRPr="009A7D31" w:rsidRDefault="009A7D31" w:rsidP="009A7D31">
      <w:pPr>
        <w:pStyle w:val="NormalWeb"/>
        <w:rPr>
          <w:rFonts w:asciiTheme="minorHAnsi" w:hAnsiTheme="minorHAnsi" w:cstheme="minorHAnsi"/>
          <w:color w:val="000000" w:themeColor="text1"/>
        </w:rPr>
      </w:pPr>
      <w:r w:rsidRPr="009A7D31">
        <w:rPr>
          <w:rFonts w:asciiTheme="minorHAnsi" w:hAnsiTheme="minorHAnsi" w:cstheme="minorHAnsi"/>
          <w:color w:val="000000" w:themeColor="text1"/>
        </w:rPr>
        <w:t xml:space="preserve">McGraw Hill's commitment to innovation and personalized learning solutions remains steadfast. In 2021, the company bolstered its dedication to tailored learning experiences through acquisitions, including </w:t>
      </w:r>
      <w:proofErr w:type="spellStart"/>
      <w:r w:rsidRPr="009A7D31">
        <w:rPr>
          <w:rFonts w:asciiTheme="minorHAnsi" w:hAnsiTheme="minorHAnsi" w:cstheme="minorHAnsi"/>
          <w:color w:val="000000" w:themeColor="text1"/>
        </w:rPr>
        <w:t>Kidaptive</w:t>
      </w:r>
      <w:proofErr w:type="spellEnd"/>
      <w:r w:rsidRPr="009A7D31">
        <w:rPr>
          <w:rFonts w:asciiTheme="minorHAnsi" w:hAnsiTheme="minorHAnsi" w:cstheme="minorHAnsi"/>
          <w:color w:val="000000" w:themeColor="text1"/>
        </w:rPr>
        <w:t>, Triad Interactive, and Achieve3000. In 2022, McGraw Hill unveiled Sharpen, a mobile study app, and acquired Boards &amp; Beyond, a valuable resource for medical students. These developments underscore the company's commitment to adapting and evolving to meet the ever-changing needs of educators and learners worldwide.</w:t>
      </w:r>
    </w:p>
    <w:p w14:paraId="4A1C7FE6" w14:textId="77777777" w:rsidR="003032C1" w:rsidRDefault="009A7D31" w:rsidP="00584F12">
      <w:pPr>
        <w:pStyle w:val="NormalWeb"/>
        <w:rPr>
          <w:rFonts w:asciiTheme="minorHAnsi" w:hAnsiTheme="minorHAnsi" w:cstheme="minorHAnsi"/>
          <w:color w:val="000000" w:themeColor="text1"/>
        </w:rPr>
      </w:pPr>
      <w:r w:rsidRPr="009A7D31">
        <w:rPr>
          <w:rFonts w:asciiTheme="minorHAnsi" w:hAnsiTheme="minorHAnsi" w:cstheme="minorHAnsi"/>
          <w:color w:val="000000" w:themeColor="text1"/>
        </w:rPr>
        <w:t>In summation, McGraw Hill's journey, spanning from its modest beginnings in 1888 to its current status as a renowned educational publishing giant, is marked by adaptability, innovation, and an unswerving commitment to educational excellence. As they celebrate their enduring legacy, the world eagerly anticipates their continued support for learners and educators, offering valuable resources and personalized learning experiences to individuals at every stage of their educational journey. McGraw Hill's evolution is a testament to their dedication to shaping the future of education, one that caters to the diverse needs of learners in the digital age.</w:t>
      </w:r>
    </w:p>
    <w:p w14:paraId="047B813E" w14:textId="44494658" w:rsidR="00584F12" w:rsidRPr="003032C1" w:rsidRDefault="00584F12" w:rsidP="00584F12">
      <w:pPr>
        <w:pStyle w:val="NormalWeb"/>
        <w:rPr>
          <w:rFonts w:asciiTheme="minorHAnsi" w:hAnsiTheme="minorHAnsi" w:cstheme="minorHAnsi"/>
          <w:color w:val="000000" w:themeColor="text1"/>
        </w:rPr>
      </w:pPr>
      <w:r w:rsidRPr="0059399E">
        <w:rPr>
          <w:rFonts w:asciiTheme="minorHAnsi" w:hAnsiTheme="minorHAnsi" w:cstheme="minorHAnsi"/>
          <w:b/>
          <w:bCs/>
          <w:color w:val="000000" w:themeColor="text1"/>
          <w:sz w:val="32"/>
          <w:szCs w:val="32"/>
          <w:u w:val="single"/>
        </w:rPr>
        <w:lastRenderedPageBreak/>
        <w:t>Consultancy Project Objective</w:t>
      </w:r>
      <w:r w:rsidRPr="0059399E">
        <w:rPr>
          <w:rFonts w:asciiTheme="minorHAnsi" w:hAnsiTheme="minorHAnsi" w:cstheme="minorHAnsi"/>
          <w:color w:val="000000" w:themeColor="text1"/>
          <w:sz w:val="32"/>
          <w:szCs w:val="32"/>
          <w:u w:val="single"/>
        </w:rPr>
        <w:t>:</w:t>
      </w:r>
    </w:p>
    <w:p w14:paraId="27D3C219" w14:textId="3F09D28D" w:rsidR="00584F12" w:rsidRPr="00CC02C9" w:rsidRDefault="00584F12" w:rsidP="00584F12">
      <w:pPr>
        <w:pStyle w:val="NormalWeb"/>
        <w:rPr>
          <w:rFonts w:asciiTheme="minorHAnsi" w:hAnsiTheme="minorHAnsi" w:cstheme="minorHAnsi"/>
          <w:color w:val="000000" w:themeColor="text1"/>
        </w:rPr>
      </w:pPr>
      <w:r w:rsidRPr="00CC02C9">
        <w:rPr>
          <w:rFonts w:asciiTheme="minorHAnsi" w:hAnsiTheme="minorHAnsi" w:cstheme="minorHAnsi"/>
          <w:color w:val="000000" w:themeColor="text1"/>
        </w:rPr>
        <w:t xml:space="preserve">The primary objective of our consultancy project is to strategically position McGraw Hill, a distinguished player in the educational publishing sector, for sustainable growth and competitive advantage within the continuously evolving educational landscape. This multifaceted </w:t>
      </w:r>
      <w:r w:rsidR="006F2F5E" w:rsidRPr="00CC02C9">
        <w:rPr>
          <w:rFonts w:asciiTheme="minorHAnsi" w:hAnsiTheme="minorHAnsi" w:cstheme="minorHAnsi"/>
          <w:color w:val="000000" w:themeColor="text1"/>
        </w:rPr>
        <w:t>endeavour</w:t>
      </w:r>
      <w:r w:rsidRPr="00CC02C9">
        <w:rPr>
          <w:rFonts w:asciiTheme="minorHAnsi" w:hAnsiTheme="minorHAnsi" w:cstheme="minorHAnsi"/>
          <w:color w:val="000000" w:themeColor="text1"/>
        </w:rPr>
        <w:t xml:space="preserve"> encompasses a comprehensive analysis and the delivery of strategic recommendations across five pivotal dimensions:</w:t>
      </w:r>
    </w:p>
    <w:p w14:paraId="3B7F105F" w14:textId="77777777" w:rsidR="00584F12" w:rsidRPr="0059399E" w:rsidRDefault="00584F12" w:rsidP="00584F12">
      <w:pPr>
        <w:pStyle w:val="NormalWeb"/>
        <w:rPr>
          <w:rFonts w:asciiTheme="minorHAnsi" w:hAnsiTheme="minorHAnsi" w:cstheme="minorHAnsi"/>
          <w:b/>
          <w:bCs/>
          <w:color w:val="000000" w:themeColor="text1"/>
          <w:sz w:val="28"/>
          <w:szCs w:val="28"/>
        </w:rPr>
      </w:pPr>
      <w:r w:rsidRPr="0059399E">
        <w:rPr>
          <w:rFonts w:asciiTheme="minorHAnsi" w:hAnsiTheme="minorHAnsi" w:cstheme="minorHAnsi"/>
          <w:b/>
          <w:bCs/>
          <w:color w:val="000000" w:themeColor="text1"/>
          <w:sz w:val="28"/>
          <w:szCs w:val="28"/>
        </w:rPr>
        <w:t>1. Market Size Analysis:</w:t>
      </w:r>
    </w:p>
    <w:p w14:paraId="6CBAEB09" w14:textId="16BA6A55" w:rsidR="00584F12" w:rsidRPr="00CC02C9" w:rsidRDefault="00A40AAF" w:rsidP="00584F12">
      <w:pPr>
        <w:pStyle w:val="NormalWeb"/>
        <w:rPr>
          <w:rFonts w:asciiTheme="minorHAnsi" w:hAnsiTheme="minorHAnsi" w:cstheme="minorHAnsi"/>
          <w:color w:val="000000" w:themeColor="text1"/>
        </w:rPr>
      </w:pPr>
      <w:r w:rsidRPr="006F2F5E">
        <w:rPr>
          <w:rFonts w:asciiTheme="minorHAnsi" w:hAnsiTheme="minorHAnsi" w:cstheme="minorHAnsi"/>
          <w:b/>
          <w:bCs/>
          <w:color w:val="000000" w:themeColor="text1"/>
        </w:rPr>
        <w:t xml:space="preserve">Project </w:t>
      </w:r>
      <w:r w:rsidR="00584F12" w:rsidRPr="006F2F5E">
        <w:rPr>
          <w:rFonts w:asciiTheme="minorHAnsi" w:hAnsiTheme="minorHAnsi" w:cstheme="minorHAnsi"/>
          <w:b/>
          <w:bCs/>
          <w:color w:val="000000" w:themeColor="text1"/>
        </w:rPr>
        <w:t>Objective:</w:t>
      </w:r>
      <w:r w:rsidR="00584F12" w:rsidRPr="00CC02C9">
        <w:rPr>
          <w:rFonts w:asciiTheme="minorHAnsi" w:hAnsiTheme="minorHAnsi" w:cstheme="minorHAnsi"/>
          <w:color w:val="000000" w:themeColor="text1"/>
        </w:rPr>
        <w:t xml:space="preserve"> To attain an in-depth understanding of the market's size by scrutinizing public investment in education, as reflected in a percentage of GDP.</w:t>
      </w:r>
    </w:p>
    <w:p w14:paraId="617D2A9E" w14:textId="172F3802" w:rsidR="00584F12" w:rsidRPr="00CC02C9" w:rsidRDefault="00584F12" w:rsidP="00BF137C">
      <w:pPr>
        <w:pStyle w:val="NormalWeb"/>
        <w:rPr>
          <w:rFonts w:asciiTheme="minorHAnsi" w:hAnsiTheme="minorHAnsi" w:cstheme="minorHAnsi"/>
          <w:color w:val="000000" w:themeColor="text1"/>
        </w:rPr>
      </w:pPr>
      <w:r w:rsidRPr="006F2F5E">
        <w:rPr>
          <w:rFonts w:asciiTheme="minorHAnsi" w:hAnsiTheme="minorHAnsi" w:cstheme="minorHAnsi"/>
          <w:b/>
          <w:bCs/>
          <w:color w:val="000000" w:themeColor="text1"/>
        </w:rPr>
        <w:t>Management Approach:</w:t>
      </w:r>
      <w:r w:rsidRPr="00CC02C9">
        <w:rPr>
          <w:rFonts w:asciiTheme="minorHAnsi" w:hAnsiTheme="minorHAnsi" w:cstheme="minorHAnsi"/>
          <w:color w:val="000000" w:themeColor="text1"/>
        </w:rPr>
        <w:t xml:space="preserve"> In this first dimension, our approach hinges on an exhaustive exploration of economic literature and government-issued reports that pertain to educational expenditure. Public spending on education is a vital indicator of the market's size, and understanding fluctuations in public investment is key to making informed strategic decisions. By applying relevant economic theories and methodologies, we aim to dissect the patterns and fluctuations in public investment, thereby assessing the scale and growth potential of the educational publishing market.</w:t>
      </w:r>
    </w:p>
    <w:p w14:paraId="13758EDE" w14:textId="77777777" w:rsidR="000F2385" w:rsidRPr="0059399E" w:rsidRDefault="00584F12" w:rsidP="00584F12">
      <w:pPr>
        <w:pStyle w:val="NormalWeb"/>
        <w:rPr>
          <w:rFonts w:asciiTheme="minorHAnsi" w:hAnsiTheme="minorHAnsi" w:cstheme="minorHAnsi"/>
          <w:b/>
          <w:bCs/>
          <w:color w:val="000000" w:themeColor="text1"/>
          <w:sz w:val="28"/>
          <w:szCs w:val="28"/>
        </w:rPr>
      </w:pPr>
      <w:r w:rsidRPr="0059399E">
        <w:rPr>
          <w:rFonts w:asciiTheme="minorHAnsi" w:hAnsiTheme="minorHAnsi" w:cstheme="minorHAnsi"/>
          <w:b/>
          <w:bCs/>
          <w:color w:val="000000" w:themeColor="text1"/>
          <w:sz w:val="28"/>
          <w:szCs w:val="28"/>
        </w:rPr>
        <w:t>2. Product-Market Fit Assessment:</w:t>
      </w:r>
    </w:p>
    <w:p w14:paraId="56A667B5" w14:textId="747DD4AC" w:rsidR="00584F12" w:rsidRPr="00CC02C9" w:rsidRDefault="00A40AAF" w:rsidP="00584F12">
      <w:pPr>
        <w:pStyle w:val="NormalWeb"/>
        <w:rPr>
          <w:rFonts w:asciiTheme="minorHAnsi" w:hAnsiTheme="minorHAnsi" w:cstheme="minorHAnsi"/>
          <w:color w:val="000000" w:themeColor="text1"/>
        </w:rPr>
      </w:pPr>
      <w:r w:rsidRPr="006F2F5E">
        <w:rPr>
          <w:rFonts w:asciiTheme="minorHAnsi" w:hAnsiTheme="minorHAnsi" w:cstheme="minorHAnsi"/>
          <w:b/>
          <w:bCs/>
          <w:color w:val="000000" w:themeColor="text1"/>
        </w:rPr>
        <w:t xml:space="preserve">Project </w:t>
      </w:r>
      <w:r w:rsidR="00584F12" w:rsidRPr="006F2F5E">
        <w:rPr>
          <w:rFonts w:asciiTheme="minorHAnsi" w:hAnsiTheme="minorHAnsi" w:cstheme="minorHAnsi"/>
          <w:b/>
          <w:bCs/>
          <w:color w:val="000000" w:themeColor="text1"/>
        </w:rPr>
        <w:t>Objective:</w:t>
      </w:r>
      <w:r w:rsidR="00584F12" w:rsidRPr="00CC02C9">
        <w:rPr>
          <w:rFonts w:asciiTheme="minorHAnsi" w:hAnsiTheme="minorHAnsi" w:cstheme="minorHAnsi"/>
          <w:color w:val="000000" w:themeColor="text1"/>
        </w:rPr>
        <w:t xml:space="preserve"> To ensure that McGraw Hill's offerings align seamlessly with the rapidly changing educational landscape, with a sharp focus on interactivity, adaptability, personalized learning, and the seamless integration of technology.</w:t>
      </w:r>
    </w:p>
    <w:p w14:paraId="25FFEDFC" w14:textId="60BD16C9" w:rsidR="00584F12" w:rsidRPr="00CC02C9" w:rsidRDefault="00584F12" w:rsidP="00584F12">
      <w:pPr>
        <w:pStyle w:val="NormalWeb"/>
        <w:rPr>
          <w:rFonts w:asciiTheme="minorHAnsi" w:hAnsiTheme="minorHAnsi" w:cstheme="minorHAnsi"/>
          <w:color w:val="000000" w:themeColor="text1"/>
        </w:rPr>
      </w:pPr>
      <w:r w:rsidRPr="006F2F5E">
        <w:rPr>
          <w:rFonts w:asciiTheme="minorHAnsi" w:hAnsiTheme="minorHAnsi" w:cstheme="minorHAnsi"/>
          <w:b/>
          <w:bCs/>
          <w:color w:val="000000" w:themeColor="text1"/>
        </w:rPr>
        <w:t>Management Approach:</w:t>
      </w:r>
      <w:r w:rsidRPr="00CC02C9">
        <w:rPr>
          <w:rFonts w:asciiTheme="minorHAnsi" w:hAnsiTheme="minorHAnsi" w:cstheme="minorHAnsi"/>
          <w:color w:val="000000" w:themeColor="text1"/>
        </w:rPr>
        <w:t xml:space="preserve"> The second dimension delves into the intricacies of product-market fit. In the context of an evolving educational landscape, it is paramount that McGraw Hill's offerings are finely tuned to meet the dynamic needs of educators, students, and professionals. We employ product-market fit frameworks, exemplified by the Jobs-to-be-Done theory, and user segmentation practices. This entails a deep dive into educational psychology theories and best practices in product design</w:t>
      </w:r>
      <w:r w:rsidR="00575A82" w:rsidRPr="00CC02C9">
        <w:rPr>
          <w:rFonts w:asciiTheme="minorHAnsi" w:hAnsiTheme="minorHAnsi" w:cstheme="minorHAnsi"/>
          <w:color w:val="000000" w:themeColor="text1"/>
        </w:rPr>
        <w:t xml:space="preserve"> to </w:t>
      </w:r>
      <w:r w:rsidRPr="00CC02C9">
        <w:rPr>
          <w:rFonts w:asciiTheme="minorHAnsi" w:hAnsiTheme="minorHAnsi" w:cstheme="minorHAnsi"/>
          <w:color w:val="000000" w:themeColor="text1"/>
        </w:rPr>
        <w:t>meticulously evaluate the alignment of McGraw Hill's products with the ever-evolving requirements of its diverse user base.</w:t>
      </w:r>
    </w:p>
    <w:p w14:paraId="5E622C5C" w14:textId="0A9C296A" w:rsidR="00584F12" w:rsidRPr="006F2F5E" w:rsidRDefault="00584F12" w:rsidP="00584F12">
      <w:pPr>
        <w:pStyle w:val="NormalWeb"/>
        <w:rPr>
          <w:rFonts w:asciiTheme="minorHAnsi" w:hAnsiTheme="minorHAnsi" w:cstheme="minorHAnsi"/>
          <w:b/>
          <w:bCs/>
          <w:color w:val="000000" w:themeColor="text1"/>
          <w:sz w:val="28"/>
          <w:szCs w:val="28"/>
        </w:rPr>
      </w:pPr>
      <w:r w:rsidRPr="006F2F5E">
        <w:rPr>
          <w:rFonts w:asciiTheme="minorHAnsi" w:hAnsiTheme="minorHAnsi" w:cstheme="minorHAnsi"/>
          <w:b/>
          <w:bCs/>
          <w:color w:val="000000" w:themeColor="text1"/>
          <w:sz w:val="28"/>
          <w:szCs w:val="28"/>
        </w:rPr>
        <w:t>3. Target Audience Understanding:</w:t>
      </w:r>
    </w:p>
    <w:p w14:paraId="64AD7810" w14:textId="77777777" w:rsidR="00070165" w:rsidRDefault="00A40AAF" w:rsidP="00584F12">
      <w:pPr>
        <w:pStyle w:val="NormalWeb"/>
        <w:rPr>
          <w:rFonts w:asciiTheme="minorHAnsi" w:hAnsiTheme="minorHAnsi" w:cstheme="minorHAnsi"/>
          <w:color w:val="000000" w:themeColor="text1"/>
        </w:rPr>
      </w:pPr>
      <w:r w:rsidRPr="006F2F5E">
        <w:rPr>
          <w:rFonts w:asciiTheme="minorHAnsi" w:hAnsiTheme="minorHAnsi" w:cstheme="minorHAnsi"/>
          <w:b/>
          <w:bCs/>
          <w:color w:val="000000" w:themeColor="text1"/>
        </w:rPr>
        <w:t xml:space="preserve">Project </w:t>
      </w:r>
      <w:r w:rsidR="00584F12" w:rsidRPr="006F2F5E">
        <w:rPr>
          <w:rFonts w:asciiTheme="minorHAnsi" w:hAnsiTheme="minorHAnsi" w:cstheme="minorHAnsi"/>
          <w:b/>
          <w:bCs/>
          <w:color w:val="000000" w:themeColor="text1"/>
        </w:rPr>
        <w:t>Objective:</w:t>
      </w:r>
      <w:r w:rsidR="00584F12" w:rsidRPr="00CC02C9">
        <w:rPr>
          <w:rFonts w:asciiTheme="minorHAnsi" w:hAnsiTheme="minorHAnsi" w:cstheme="minorHAnsi"/>
          <w:color w:val="000000" w:themeColor="text1"/>
        </w:rPr>
        <w:t xml:space="preserve"> To gain a comprehensive insight into the multifaceted target audience, which includes educators, students, and professionals across all age cohorts.</w:t>
      </w:r>
    </w:p>
    <w:p w14:paraId="10997864" w14:textId="5001808D" w:rsidR="00584F12" w:rsidRPr="00CC02C9" w:rsidRDefault="00584F12" w:rsidP="00584F12">
      <w:pPr>
        <w:pStyle w:val="NormalWeb"/>
        <w:rPr>
          <w:rFonts w:asciiTheme="minorHAnsi" w:hAnsiTheme="minorHAnsi" w:cstheme="minorHAnsi"/>
          <w:color w:val="000000" w:themeColor="text1"/>
        </w:rPr>
      </w:pPr>
      <w:r w:rsidRPr="006F2F5E">
        <w:rPr>
          <w:rFonts w:asciiTheme="minorHAnsi" w:hAnsiTheme="minorHAnsi" w:cstheme="minorHAnsi"/>
          <w:b/>
          <w:bCs/>
          <w:color w:val="000000" w:themeColor="text1"/>
        </w:rPr>
        <w:t>Management Approach:</w:t>
      </w:r>
      <w:r w:rsidRPr="00CC02C9">
        <w:rPr>
          <w:rFonts w:asciiTheme="minorHAnsi" w:hAnsiTheme="minorHAnsi" w:cstheme="minorHAnsi"/>
          <w:color w:val="000000" w:themeColor="text1"/>
        </w:rPr>
        <w:t xml:space="preserve"> The third dimension involves a deep dive into target audience understanding. McGraw Hill's success hinges on its ability to serve the diverse needs and preferences of educators, students, and professionals. Leveraging a wealth of demographic data, educational psychology theories, and best practices in market segmentation, our strategy entails profiling and segmenting the target audience meticulously. This intricate </w:t>
      </w:r>
      <w:r w:rsidRPr="00CC02C9">
        <w:rPr>
          <w:rFonts w:asciiTheme="minorHAnsi" w:hAnsiTheme="minorHAnsi" w:cstheme="minorHAnsi"/>
          <w:color w:val="000000" w:themeColor="text1"/>
        </w:rPr>
        <w:lastRenderedPageBreak/>
        <w:t>analysis equips us to formulate tailored strategies and products that cater meticulously to the unique preferences, learning modalities, and needs of each distinct demographic group.</w:t>
      </w:r>
    </w:p>
    <w:p w14:paraId="159FFDB0" w14:textId="77777777" w:rsidR="00584F12" w:rsidRPr="0053662E" w:rsidRDefault="00584F12" w:rsidP="00584F12">
      <w:pPr>
        <w:pStyle w:val="NormalWeb"/>
        <w:rPr>
          <w:rFonts w:asciiTheme="minorHAnsi" w:hAnsiTheme="minorHAnsi" w:cstheme="minorHAnsi"/>
          <w:b/>
          <w:bCs/>
          <w:color w:val="000000" w:themeColor="text1"/>
          <w:sz w:val="28"/>
          <w:szCs w:val="28"/>
        </w:rPr>
      </w:pPr>
      <w:r w:rsidRPr="0053662E">
        <w:rPr>
          <w:rFonts w:asciiTheme="minorHAnsi" w:hAnsiTheme="minorHAnsi" w:cstheme="minorHAnsi"/>
          <w:b/>
          <w:bCs/>
          <w:color w:val="000000" w:themeColor="text1"/>
          <w:sz w:val="28"/>
          <w:szCs w:val="28"/>
        </w:rPr>
        <w:t>4. Competition and Demand Analysis:</w:t>
      </w:r>
    </w:p>
    <w:p w14:paraId="228F88C6" w14:textId="3CBC4344" w:rsidR="00584F12" w:rsidRPr="00CC02C9" w:rsidRDefault="007A3302" w:rsidP="00584F12">
      <w:pPr>
        <w:pStyle w:val="NormalWeb"/>
        <w:rPr>
          <w:rFonts w:asciiTheme="minorHAnsi" w:hAnsiTheme="minorHAnsi" w:cstheme="minorHAnsi"/>
          <w:color w:val="000000" w:themeColor="text1"/>
        </w:rPr>
      </w:pPr>
      <w:r w:rsidRPr="004E7F32">
        <w:rPr>
          <w:rFonts w:asciiTheme="minorHAnsi" w:hAnsiTheme="minorHAnsi" w:cstheme="minorHAnsi"/>
          <w:b/>
          <w:bCs/>
          <w:color w:val="000000" w:themeColor="text1"/>
        </w:rPr>
        <w:t xml:space="preserve">Project </w:t>
      </w:r>
      <w:r w:rsidR="00584F12" w:rsidRPr="004E7F32">
        <w:rPr>
          <w:rFonts w:asciiTheme="minorHAnsi" w:hAnsiTheme="minorHAnsi" w:cstheme="minorHAnsi"/>
          <w:b/>
          <w:bCs/>
          <w:color w:val="000000" w:themeColor="text1"/>
        </w:rPr>
        <w:t>Objective:</w:t>
      </w:r>
      <w:r w:rsidR="00584F12" w:rsidRPr="00CC02C9">
        <w:rPr>
          <w:rFonts w:asciiTheme="minorHAnsi" w:hAnsiTheme="minorHAnsi" w:cstheme="minorHAnsi"/>
          <w:color w:val="000000" w:themeColor="text1"/>
        </w:rPr>
        <w:t xml:space="preserve"> To undertake a comprehensive evaluation of the competitive landscape and the intricacies of demand within the educational publishing sector.</w:t>
      </w:r>
    </w:p>
    <w:p w14:paraId="58D6AE5F" w14:textId="77777777" w:rsidR="00584F12" w:rsidRPr="00CC02C9" w:rsidRDefault="00584F12" w:rsidP="00584F12">
      <w:pPr>
        <w:pStyle w:val="NormalWeb"/>
        <w:rPr>
          <w:rFonts w:asciiTheme="minorHAnsi" w:hAnsiTheme="minorHAnsi" w:cstheme="minorHAnsi"/>
          <w:color w:val="000000" w:themeColor="text1"/>
        </w:rPr>
      </w:pPr>
      <w:r w:rsidRPr="004E7F32">
        <w:rPr>
          <w:rFonts w:asciiTheme="minorHAnsi" w:hAnsiTheme="minorHAnsi" w:cstheme="minorHAnsi"/>
          <w:b/>
          <w:bCs/>
          <w:color w:val="000000" w:themeColor="text1"/>
        </w:rPr>
        <w:t>Management Approach:</w:t>
      </w:r>
      <w:r w:rsidRPr="00CC02C9">
        <w:rPr>
          <w:rFonts w:asciiTheme="minorHAnsi" w:hAnsiTheme="minorHAnsi" w:cstheme="minorHAnsi"/>
          <w:color w:val="000000" w:themeColor="text1"/>
        </w:rPr>
        <w:t xml:space="preserve"> The fourth dimension focuses on competition and demand analysis. In the highly competitive educational publishing industry, it is crucial to understand the competitive landscape and the demand dynamics that drive it. Our management approach draws upon competitive strategy frameworks, particularly Porter's Five Forces, to illuminate the competitive milieu. Additionally, market research methodologies encompassing surveys, data analytics, and demand forecasting models will be employed to decode the nuanced trends in demand, identify prospective market opportunities, and assess potential threats. A critical aspect of this analysis is the scrutiny of global competitors like Pearson, Cengage, and Wiley, as well as local educational publishers and technology companies.</w:t>
      </w:r>
    </w:p>
    <w:p w14:paraId="56896FC9" w14:textId="40E91BC6" w:rsidR="00EA6B88" w:rsidRPr="0053662E" w:rsidRDefault="00584F12" w:rsidP="00584F12">
      <w:pPr>
        <w:pStyle w:val="NormalWeb"/>
        <w:rPr>
          <w:rFonts w:asciiTheme="minorHAnsi" w:hAnsiTheme="minorHAnsi" w:cstheme="minorHAnsi"/>
          <w:b/>
          <w:bCs/>
          <w:color w:val="000000" w:themeColor="text1"/>
          <w:sz w:val="28"/>
          <w:szCs w:val="28"/>
        </w:rPr>
      </w:pPr>
      <w:r w:rsidRPr="0053662E">
        <w:rPr>
          <w:rFonts w:asciiTheme="minorHAnsi" w:hAnsiTheme="minorHAnsi" w:cstheme="minorHAnsi"/>
          <w:b/>
          <w:bCs/>
          <w:color w:val="000000" w:themeColor="text1"/>
          <w:sz w:val="28"/>
          <w:szCs w:val="28"/>
        </w:rPr>
        <w:t>5. Distribution Strategy Optimization:</w:t>
      </w:r>
    </w:p>
    <w:p w14:paraId="395B5977" w14:textId="3C09FD5A" w:rsidR="00584F12" w:rsidRPr="00CC02C9" w:rsidRDefault="007A3302" w:rsidP="00584F12">
      <w:pPr>
        <w:pStyle w:val="NormalWeb"/>
        <w:rPr>
          <w:rFonts w:asciiTheme="minorHAnsi" w:hAnsiTheme="minorHAnsi" w:cstheme="minorHAnsi"/>
          <w:color w:val="000000" w:themeColor="text1"/>
        </w:rPr>
      </w:pPr>
      <w:r w:rsidRPr="0053662E">
        <w:rPr>
          <w:rFonts w:asciiTheme="minorHAnsi" w:hAnsiTheme="minorHAnsi" w:cstheme="minorHAnsi"/>
          <w:b/>
          <w:bCs/>
          <w:color w:val="000000" w:themeColor="text1"/>
        </w:rPr>
        <w:t xml:space="preserve">Project </w:t>
      </w:r>
      <w:r w:rsidR="00584F12" w:rsidRPr="0053662E">
        <w:rPr>
          <w:rFonts w:asciiTheme="minorHAnsi" w:hAnsiTheme="minorHAnsi" w:cstheme="minorHAnsi"/>
          <w:b/>
          <w:bCs/>
          <w:color w:val="000000" w:themeColor="text1"/>
        </w:rPr>
        <w:t>Objective:</w:t>
      </w:r>
      <w:r w:rsidR="00584F12" w:rsidRPr="00CC02C9">
        <w:rPr>
          <w:rFonts w:asciiTheme="minorHAnsi" w:hAnsiTheme="minorHAnsi" w:cstheme="minorHAnsi"/>
          <w:color w:val="000000" w:themeColor="text1"/>
        </w:rPr>
        <w:t xml:space="preserve"> To refine and amplify McGraw Hill's distribution strategy by means of a comprehensive evaluation and optimization of distribution channels.</w:t>
      </w:r>
    </w:p>
    <w:p w14:paraId="62C841C7" w14:textId="77777777" w:rsidR="00584F12" w:rsidRPr="00CC02C9" w:rsidRDefault="00584F12" w:rsidP="00584F12">
      <w:pPr>
        <w:pStyle w:val="NormalWeb"/>
        <w:rPr>
          <w:rFonts w:asciiTheme="minorHAnsi" w:hAnsiTheme="minorHAnsi" w:cstheme="minorHAnsi"/>
          <w:color w:val="000000" w:themeColor="text1"/>
        </w:rPr>
      </w:pPr>
      <w:r w:rsidRPr="0053662E">
        <w:rPr>
          <w:rFonts w:asciiTheme="minorHAnsi" w:hAnsiTheme="minorHAnsi" w:cstheme="minorHAnsi"/>
          <w:b/>
          <w:bCs/>
          <w:color w:val="000000" w:themeColor="text1"/>
        </w:rPr>
        <w:t>Management Approach:</w:t>
      </w:r>
      <w:r w:rsidRPr="00CC02C9">
        <w:rPr>
          <w:rFonts w:asciiTheme="minorHAnsi" w:hAnsiTheme="minorHAnsi" w:cstheme="minorHAnsi"/>
          <w:color w:val="000000" w:themeColor="text1"/>
        </w:rPr>
        <w:t xml:space="preserve"> The fifth dimension revolves around distribution strategy optimization. Effective distribution is pivotal to reaching and serving the target audience effectively. Drawing from distribution theory, best practices in e-commerce, and innovative collaborative strategies, our management approach involves a meticulous appraisal of the efficacy of diverse distribution channels. This encompasses evaluating the effectiveness of direct sales facilitated through the corporate website, forming strategic alliances with educational distributors, and cultivating collaborations with the learning management systems of educational institutions. The objective is to ensure the seamless dissemination of McGraw Hill's content, thereby enhancing its accessibility to educators and students.</w:t>
      </w:r>
    </w:p>
    <w:p w14:paraId="1ADDE088" w14:textId="77777777" w:rsidR="00CC02C9" w:rsidRDefault="00CC02C9" w:rsidP="007F29EE">
      <w:pPr>
        <w:pStyle w:val="NormalWeb"/>
        <w:rPr>
          <w:rFonts w:asciiTheme="minorHAnsi" w:hAnsiTheme="minorHAnsi" w:cstheme="minorHAnsi"/>
          <w:b/>
          <w:bCs/>
          <w:color w:val="000000" w:themeColor="text1"/>
          <w:sz w:val="32"/>
          <w:szCs w:val="32"/>
        </w:rPr>
      </w:pPr>
    </w:p>
    <w:p w14:paraId="144230B7" w14:textId="77777777" w:rsidR="004E7F32" w:rsidRDefault="004E7F32" w:rsidP="007F29EE">
      <w:pPr>
        <w:pStyle w:val="NormalWeb"/>
        <w:rPr>
          <w:rFonts w:asciiTheme="minorHAnsi" w:hAnsiTheme="minorHAnsi" w:cstheme="minorHAnsi"/>
          <w:b/>
          <w:bCs/>
          <w:color w:val="000000" w:themeColor="text1"/>
          <w:sz w:val="32"/>
          <w:szCs w:val="32"/>
        </w:rPr>
      </w:pPr>
    </w:p>
    <w:p w14:paraId="7F5A6FDE" w14:textId="77777777" w:rsidR="00070165" w:rsidRDefault="00070165" w:rsidP="007F29EE">
      <w:pPr>
        <w:pStyle w:val="NormalWeb"/>
        <w:rPr>
          <w:rFonts w:asciiTheme="minorHAnsi" w:hAnsiTheme="minorHAnsi" w:cstheme="minorHAnsi"/>
          <w:b/>
          <w:bCs/>
          <w:color w:val="000000" w:themeColor="text1"/>
          <w:sz w:val="32"/>
          <w:szCs w:val="32"/>
          <w:u w:val="single"/>
        </w:rPr>
      </w:pPr>
    </w:p>
    <w:p w14:paraId="6C1F56E8" w14:textId="77777777" w:rsidR="00070165" w:rsidRDefault="00070165" w:rsidP="007F29EE">
      <w:pPr>
        <w:pStyle w:val="NormalWeb"/>
        <w:rPr>
          <w:rFonts w:asciiTheme="minorHAnsi" w:hAnsiTheme="minorHAnsi" w:cstheme="minorHAnsi"/>
          <w:b/>
          <w:bCs/>
          <w:color w:val="000000" w:themeColor="text1"/>
          <w:sz w:val="32"/>
          <w:szCs w:val="32"/>
          <w:u w:val="single"/>
        </w:rPr>
      </w:pPr>
    </w:p>
    <w:p w14:paraId="2B01438C" w14:textId="77777777" w:rsidR="003032C1" w:rsidRDefault="003032C1" w:rsidP="007F29EE">
      <w:pPr>
        <w:pStyle w:val="NormalWeb"/>
        <w:rPr>
          <w:rFonts w:asciiTheme="minorHAnsi" w:hAnsiTheme="minorHAnsi" w:cstheme="minorHAnsi"/>
          <w:b/>
          <w:bCs/>
          <w:color w:val="000000" w:themeColor="text1"/>
          <w:sz w:val="32"/>
          <w:szCs w:val="32"/>
          <w:u w:val="single"/>
        </w:rPr>
      </w:pPr>
    </w:p>
    <w:p w14:paraId="293EFC25" w14:textId="77777777" w:rsidR="003032C1" w:rsidRDefault="003032C1" w:rsidP="007F29EE">
      <w:pPr>
        <w:pStyle w:val="NormalWeb"/>
        <w:rPr>
          <w:rFonts w:asciiTheme="minorHAnsi" w:hAnsiTheme="minorHAnsi" w:cstheme="minorHAnsi"/>
          <w:b/>
          <w:bCs/>
          <w:color w:val="000000" w:themeColor="text1"/>
          <w:sz w:val="32"/>
          <w:szCs w:val="32"/>
          <w:u w:val="single"/>
        </w:rPr>
      </w:pPr>
    </w:p>
    <w:p w14:paraId="3D0F2035" w14:textId="6A891D89" w:rsidR="00536FB6" w:rsidRPr="004E7F32" w:rsidRDefault="00536FB6" w:rsidP="007F29EE">
      <w:pPr>
        <w:pStyle w:val="NormalWeb"/>
        <w:rPr>
          <w:rFonts w:asciiTheme="minorHAnsi" w:hAnsiTheme="minorHAnsi" w:cstheme="minorHAnsi"/>
          <w:b/>
          <w:bCs/>
          <w:color w:val="000000" w:themeColor="text1"/>
          <w:sz w:val="32"/>
          <w:szCs w:val="32"/>
          <w:u w:val="single"/>
        </w:rPr>
      </w:pPr>
      <w:r w:rsidRPr="004E7F32">
        <w:rPr>
          <w:rFonts w:asciiTheme="minorHAnsi" w:hAnsiTheme="minorHAnsi" w:cstheme="minorHAnsi"/>
          <w:b/>
          <w:bCs/>
          <w:color w:val="000000" w:themeColor="text1"/>
          <w:sz w:val="32"/>
          <w:szCs w:val="32"/>
          <w:u w:val="single"/>
        </w:rPr>
        <w:lastRenderedPageBreak/>
        <w:t xml:space="preserve">Research methodology </w:t>
      </w:r>
    </w:p>
    <w:p w14:paraId="71E304C1" w14:textId="08298CE7" w:rsidR="007F29EE" w:rsidRPr="00536FB6" w:rsidRDefault="002A741A" w:rsidP="007F29EE">
      <w:pPr>
        <w:pStyle w:val="NormalWeb"/>
        <w:rPr>
          <w:rFonts w:asciiTheme="minorHAnsi" w:hAnsiTheme="minorHAnsi" w:cstheme="minorHAnsi"/>
          <w:color w:val="000000" w:themeColor="text1"/>
        </w:rPr>
      </w:pPr>
      <w:r w:rsidRPr="00536FB6">
        <w:rPr>
          <w:rFonts w:asciiTheme="minorHAnsi" w:hAnsiTheme="minorHAnsi" w:cstheme="minorHAnsi"/>
          <w:color w:val="000000" w:themeColor="text1"/>
        </w:rPr>
        <w:t>For educational technology companies looking to enter the market, the Nordic region offers a diverse and dynamic environment. One such business, McGraw Hill, has started a strategic initiative to increase its presence in the Nordic education market. McGraw Hill has decided to combine a SWOT analysis (Strengths, Weaknesses, Opportunities, and Threats) with a Go-To-Market (GTM) strategy, both of which depend on thorough data collection and analysis, in order to successfully navigate this complex landscape. With the help of this strategy, the business is able to take well-informed decisions, customise strategies for the various Nordic nations, reduce risks, and guarantee ongoing improvement. With the aid of pertinent data and references, we will examine why SWOT analysis and GTM strategy are suitable for this project's data collection and analysis.</w:t>
      </w:r>
    </w:p>
    <w:p w14:paraId="2D3A43CF" w14:textId="4A53A649" w:rsidR="007F29EE" w:rsidRPr="002053B8" w:rsidRDefault="007F29EE" w:rsidP="007F29EE">
      <w:pPr>
        <w:pStyle w:val="NormalWeb"/>
        <w:rPr>
          <w:rFonts w:asciiTheme="minorHAnsi" w:hAnsiTheme="minorHAnsi" w:cstheme="minorHAnsi"/>
          <w:b/>
          <w:bCs/>
          <w:color w:val="000000" w:themeColor="text1"/>
          <w:sz w:val="28"/>
          <w:szCs w:val="28"/>
        </w:rPr>
      </w:pPr>
      <w:r w:rsidRPr="002053B8">
        <w:rPr>
          <w:rFonts w:asciiTheme="minorHAnsi" w:hAnsiTheme="minorHAnsi" w:cstheme="minorHAnsi"/>
          <w:b/>
          <w:bCs/>
          <w:color w:val="000000" w:themeColor="text1"/>
          <w:sz w:val="28"/>
          <w:szCs w:val="28"/>
        </w:rPr>
        <w:t>The Role of SWOT Analysis</w:t>
      </w:r>
      <w:r w:rsidR="004E7F32">
        <w:rPr>
          <w:rFonts w:asciiTheme="minorHAnsi" w:hAnsiTheme="minorHAnsi" w:cstheme="minorHAnsi"/>
          <w:b/>
          <w:bCs/>
          <w:color w:val="000000" w:themeColor="text1"/>
          <w:sz w:val="28"/>
          <w:szCs w:val="28"/>
        </w:rPr>
        <w:t>-</w:t>
      </w:r>
    </w:p>
    <w:p w14:paraId="00CFCEDF" w14:textId="4D97CBD4" w:rsidR="007F29EE" w:rsidRPr="00536FB6" w:rsidRDefault="00E61992" w:rsidP="007F29EE">
      <w:pPr>
        <w:pStyle w:val="NormalWeb"/>
        <w:rPr>
          <w:rFonts w:asciiTheme="minorHAnsi" w:hAnsiTheme="minorHAnsi" w:cstheme="minorHAnsi"/>
          <w:color w:val="000000" w:themeColor="text1"/>
        </w:rPr>
      </w:pPr>
      <w:r w:rsidRPr="00536FB6">
        <w:rPr>
          <w:rFonts w:asciiTheme="minorHAnsi" w:hAnsiTheme="minorHAnsi" w:cstheme="minorHAnsi"/>
          <w:color w:val="000000" w:themeColor="text1"/>
        </w:rPr>
        <w:t>An organization's strategic planning can be impacted by both internal and external factors, and the SWOT analysis is a fundamental framework for evaluating these influences. For the purpose of gathering and analysing data in four crucial areas-strengths, weaknesses, opportunities, and threats-it offers a structured methodology</w:t>
      </w:r>
      <w:r w:rsidR="005F470D">
        <w:rPr>
          <w:rFonts w:asciiTheme="minorHAnsi" w:hAnsiTheme="minorHAnsi" w:cstheme="minorHAnsi"/>
          <w:color w:val="000000" w:themeColor="text1"/>
        </w:rPr>
        <w:t xml:space="preserve"> </w:t>
      </w:r>
      <w:r w:rsidR="00CF7467">
        <w:rPr>
          <w:rFonts w:asciiTheme="minorHAnsi" w:hAnsiTheme="minorHAnsi" w:cstheme="minorHAnsi"/>
          <w:color w:val="000000" w:themeColor="text1"/>
        </w:rPr>
        <w:t>(</w:t>
      </w:r>
      <w:r w:rsidR="00885978" w:rsidRPr="00972851">
        <w:rPr>
          <w:rFonts w:asciiTheme="minorHAnsi" w:hAnsiTheme="minorHAnsi" w:cstheme="minorHAnsi"/>
          <w:color w:val="000000" w:themeColor="text1"/>
        </w:rPr>
        <w:t xml:space="preserve">Helms, M.M. and Nixon, J., </w:t>
      </w:r>
      <w:proofErr w:type="gramStart"/>
      <w:r w:rsidR="00885978" w:rsidRPr="00972851">
        <w:rPr>
          <w:rFonts w:asciiTheme="minorHAnsi" w:hAnsiTheme="minorHAnsi" w:cstheme="minorHAnsi"/>
          <w:color w:val="000000" w:themeColor="text1"/>
        </w:rPr>
        <w:t>2010</w:t>
      </w:r>
      <w:r w:rsidRPr="00536FB6">
        <w:rPr>
          <w:rFonts w:asciiTheme="minorHAnsi" w:hAnsiTheme="minorHAnsi" w:cstheme="minorHAnsi"/>
          <w:color w:val="000000" w:themeColor="text1"/>
        </w:rPr>
        <w:t xml:space="preserve"> </w:t>
      </w:r>
      <w:r w:rsidR="005F470D">
        <w:rPr>
          <w:rFonts w:asciiTheme="minorHAnsi" w:hAnsiTheme="minorHAnsi" w:cstheme="minorHAnsi"/>
          <w:color w:val="000000" w:themeColor="text1"/>
        </w:rPr>
        <w:t>)</w:t>
      </w:r>
      <w:proofErr w:type="gramEnd"/>
      <w:r w:rsidR="005F470D">
        <w:rPr>
          <w:rFonts w:asciiTheme="minorHAnsi" w:hAnsiTheme="minorHAnsi" w:cstheme="minorHAnsi"/>
          <w:color w:val="000000" w:themeColor="text1"/>
        </w:rPr>
        <w:t xml:space="preserve"> .</w:t>
      </w:r>
      <w:r w:rsidRPr="00536FB6">
        <w:rPr>
          <w:rFonts w:asciiTheme="minorHAnsi" w:hAnsiTheme="minorHAnsi" w:cstheme="minorHAnsi"/>
          <w:color w:val="000000" w:themeColor="text1"/>
        </w:rPr>
        <w:t>SWOT analysis has several important uses in the context of McGraw Hill's expansion into the Nordic education markets.</w:t>
      </w:r>
    </w:p>
    <w:p w14:paraId="3F3FE44E" w14:textId="77777777" w:rsidR="007F29EE" w:rsidRPr="00536FB6" w:rsidRDefault="007F29EE" w:rsidP="007F29EE">
      <w:pPr>
        <w:pStyle w:val="NormalWeb"/>
        <w:rPr>
          <w:rFonts w:asciiTheme="minorHAnsi" w:hAnsiTheme="minorHAnsi" w:cstheme="minorHAnsi"/>
          <w:color w:val="000000" w:themeColor="text1"/>
        </w:rPr>
      </w:pPr>
      <w:r w:rsidRPr="006B1525">
        <w:rPr>
          <w:rFonts w:asciiTheme="minorHAnsi" w:hAnsiTheme="minorHAnsi" w:cstheme="minorHAnsi"/>
          <w:b/>
          <w:bCs/>
          <w:color w:val="000000" w:themeColor="text1"/>
        </w:rPr>
        <w:t>Comprehensive Data Collection:</w:t>
      </w:r>
      <w:r w:rsidRPr="00536FB6">
        <w:rPr>
          <w:rFonts w:asciiTheme="minorHAnsi" w:hAnsiTheme="minorHAnsi" w:cstheme="minorHAnsi"/>
          <w:color w:val="000000" w:themeColor="text1"/>
        </w:rPr>
        <w:t xml:space="preserve"> SWOT analysis encourages the collection of data across multiple dimensions. Internally, McGraw Hill can assess its strengths, such as a strong brand reputation or existing digital resources, and weaknesses, such as gaps in localized content or challenges in customization. Externally, it involves collecting data on opportunities, such as market size and growth trends, and threats, such as competition or regulatory barriers.</w:t>
      </w:r>
    </w:p>
    <w:p w14:paraId="21C9CA76" w14:textId="4E7C1073" w:rsidR="007F29EE" w:rsidRPr="00536FB6" w:rsidRDefault="00B22C42" w:rsidP="007F29EE">
      <w:pPr>
        <w:pStyle w:val="NormalWeb"/>
        <w:rPr>
          <w:rFonts w:asciiTheme="minorHAnsi" w:hAnsiTheme="minorHAnsi" w:cstheme="minorHAnsi"/>
          <w:color w:val="000000" w:themeColor="text1"/>
        </w:rPr>
      </w:pPr>
      <w:r w:rsidRPr="00536FB6">
        <w:rPr>
          <w:rFonts w:asciiTheme="minorHAnsi" w:hAnsiTheme="minorHAnsi" w:cstheme="minorHAnsi"/>
          <w:color w:val="000000" w:themeColor="text1"/>
        </w:rPr>
        <w:t>A strength mentioned in the case of McGraw Hill's expansion, for instance, is the existence of "Tech-Savvy Educators in Sweden." Data showing the widespread use of digital technology in Swedish education are used to support this claim. Similarly, the identification of a threat, "Competition in Sweden and Denmark," is supported by information on the state of competition in these markets.</w:t>
      </w:r>
    </w:p>
    <w:p w14:paraId="2F6693F6" w14:textId="06A18640" w:rsidR="007F29EE" w:rsidRPr="00536FB6" w:rsidRDefault="007F29EE" w:rsidP="007F29EE">
      <w:pPr>
        <w:pStyle w:val="NormalWeb"/>
        <w:rPr>
          <w:rFonts w:asciiTheme="minorHAnsi" w:hAnsiTheme="minorHAnsi" w:cstheme="minorHAnsi"/>
          <w:color w:val="000000" w:themeColor="text1"/>
        </w:rPr>
      </w:pPr>
      <w:r w:rsidRPr="006B1525">
        <w:rPr>
          <w:rFonts w:asciiTheme="minorHAnsi" w:hAnsiTheme="minorHAnsi" w:cstheme="minorHAnsi"/>
          <w:b/>
          <w:bCs/>
          <w:color w:val="000000" w:themeColor="text1"/>
        </w:rPr>
        <w:t xml:space="preserve">Evidence-Based Decision </w:t>
      </w:r>
      <w:r w:rsidR="004F01A4" w:rsidRPr="006B1525">
        <w:rPr>
          <w:rFonts w:asciiTheme="minorHAnsi" w:hAnsiTheme="minorHAnsi" w:cstheme="minorHAnsi"/>
          <w:b/>
          <w:bCs/>
          <w:color w:val="000000" w:themeColor="text1"/>
        </w:rPr>
        <w:t>Making:</w:t>
      </w:r>
      <w:r w:rsidR="004F01A4">
        <w:rPr>
          <w:rFonts w:asciiTheme="minorHAnsi" w:hAnsiTheme="minorHAnsi" w:cstheme="minorHAnsi"/>
          <w:color w:val="000000" w:themeColor="text1"/>
        </w:rPr>
        <w:t xml:space="preserve"> </w:t>
      </w:r>
      <w:r w:rsidR="00AF3D6E" w:rsidRPr="00AF3D6E">
        <w:rPr>
          <w:rFonts w:asciiTheme="minorHAnsi" w:hAnsiTheme="minorHAnsi" w:cstheme="minorHAnsi"/>
          <w:color w:val="000000" w:themeColor="text1"/>
        </w:rPr>
        <w:t>SWOT analysis is inherently dependent on information and proof. It is essential to back up your assertions about opportunities, threats, opportunities, and weaknesses with reliable data. This data-driven strategy ensures that strategic decisions regarding McGraw Hill's expansion are well-founded and supported by empirical data.</w:t>
      </w:r>
    </w:p>
    <w:p w14:paraId="0D470E8D" w14:textId="77777777" w:rsidR="007F29EE" w:rsidRPr="00536FB6" w:rsidRDefault="007F29EE" w:rsidP="007F29EE">
      <w:pPr>
        <w:pStyle w:val="NormalWeb"/>
        <w:rPr>
          <w:rFonts w:asciiTheme="minorHAnsi" w:hAnsiTheme="minorHAnsi" w:cstheme="minorHAnsi"/>
          <w:color w:val="000000" w:themeColor="text1"/>
        </w:rPr>
      </w:pPr>
      <w:r w:rsidRPr="00536FB6">
        <w:rPr>
          <w:rFonts w:asciiTheme="minorHAnsi" w:hAnsiTheme="minorHAnsi" w:cstheme="minorHAnsi"/>
          <w:color w:val="000000" w:themeColor="text1"/>
        </w:rPr>
        <w:t>For example, when considering opportunities, data regarding the Nordic region's investment in education as a percentage of GDP is essential evidence to support the claim that there is growth potential in this sector. This data-driven perspective guides McGraw Hill's decision to enter the market.</w:t>
      </w:r>
    </w:p>
    <w:p w14:paraId="7A05E3F4" w14:textId="77777777" w:rsidR="007F29EE" w:rsidRPr="00536FB6" w:rsidRDefault="007F29EE" w:rsidP="007F29EE">
      <w:pPr>
        <w:pStyle w:val="NormalWeb"/>
        <w:rPr>
          <w:rFonts w:asciiTheme="minorHAnsi" w:hAnsiTheme="minorHAnsi" w:cstheme="minorHAnsi"/>
          <w:color w:val="000000" w:themeColor="text1"/>
        </w:rPr>
      </w:pPr>
    </w:p>
    <w:p w14:paraId="4F06F257" w14:textId="77777777" w:rsidR="007F29EE" w:rsidRPr="00536FB6" w:rsidRDefault="007F29EE" w:rsidP="007F29EE">
      <w:pPr>
        <w:pStyle w:val="NormalWeb"/>
        <w:rPr>
          <w:rFonts w:asciiTheme="minorHAnsi" w:hAnsiTheme="minorHAnsi" w:cstheme="minorHAnsi"/>
          <w:color w:val="000000" w:themeColor="text1"/>
        </w:rPr>
      </w:pPr>
      <w:r w:rsidRPr="00D36B96">
        <w:rPr>
          <w:rFonts w:asciiTheme="minorHAnsi" w:hAnsiTheme="minorHAnsi" w:cstheme="minorHAnsi"/>
          <w:b/>
          <w:bCs/>
          <w:color w:val="000000" w:themeColor="text1"/>
        </w:rPr>
        <w:lastRenderedPageBreak/>
        <w:t>Tailored Strategy Development:</w:t>
      </w:r>
      <w:r w:rsidRPr="00536FB6">
        <w:rPr>
          <w:rFonts w:asciiTheme="minorHAnsi" w:hAnsiTheme="minorHAnsi" w:cstheme="minorHAnsi"/>
          <w:color w:val="000000" w:themeColor="text1"/>
        </w:rPr>
        <w:t xml:space="preserve"> SWOT analysis helps in the formulation of tailored strategies. Each Nordic country has its unique characteristics and challenges. Data collected through SWOT analysis allows McGraw Hill to identify specific areas for improvement and optimization in each market.</w:t>
      </w:r>
    </w:p>
    <w:p w14:paraId="045B76DA" w14:textId="7CEFD86C" w:rsidR="007F29EE" w:rsidRPr="00536FB6" w:rsidRDefault="007F29EE" w:rsidP="007F29EE">
      <w:pPr>
        <w:pStyle w:val="NormalWeb"/>
        <w:rPr>
          <w:rFonts w:asciiTheme="minorHAnsi" w:hAnsiTheme="minorHAnsi" w:cstheme="minorHAnsi"/>
          <w:color w:val="000000" w:themeColor="text1"/>
        </w:rPr>
      </w:pPr>
      <w:r w:rsidRPr="00536FB6">
        <w:rPr>
          <w:rFonts w:asciiTheme="minorHAnsi" w:hAnsiTheme="minorHAnsi" w:cstheme="minorHAnsi"/>
          <w:color w:val="000000" w:themeColor="text1"/>
        </w:rPr>
        <w:t xml:space="preserve">For instance, the weaknesses identified in longer buying cycles in Finland and customization challenges in Iceland are supported by data reflecting the purchasing </w:t>
      </w:r>
      <w:r w:rsidR="00004D91" w:rsidRPr="00536FB6">
        <w:rPr>
          <w:rFonts w:asciiTheme="minorHAnsi" w:hAnsiTheme="minorHAnsi" w:cstheme="minorHAnsi"/>
          <w:color w:val="000000" w:themeColor="text1"/>
        </w:rPr>
        <w:t>behaviour</w:t>
      </w:r>
      <w:r w:rsidRPr="00536FB6">
        <w:rPr>
          <w:rFonts w:asciiTheme="minorHAnsi" w:hAnsiTheme="minorHAnsi" w:cstheme="minorHAnsi"/>
          <w:color w:val="000000" w:themeColor="text1"/>
        </w:rPr>
        <w:t xml:space="preserve"> of educational institutions and the preferences of educators. These data points inform strategies that address these specific challenges.</w:t>
      </w:r>
    </w:p>
    <w:p w14:paraId="31E82B24" w14:textId="77777777" w:rsidR="007F29EE" w:rsidRPr="00536FB6" w:rsidRDefault="007F29EE" w:rsidP="007F29EE">
      <w:pPr>
        <w:pStyle w:val="NormalWeb"/>
        <w:rPr>
          <w:rFonts w:asciiTheme="minorHAnsi" w:hAnsiTheme="minorHAnsi" w:cstheme="minorHAnsi"/>
          <w:color w:val="000000" w:themeColor="text1"/>
        </w:rPr>
      </w:pPr>
      <w:r w:rsidRPr="00D36B96">
        <w:rPr>
          <w:rFonts w:asciiTheme="minorHAnsi" w:hAnsiTheme="minorHAnsi" w:cstheme="minorHAnsi"/>
          <w:b/>
          <w:bCs/>
          <w:color w:val="000000" w:themeColor="text1"/>
        </w:rPr>
        <w:t>Risk Mitigation:</w:t>
      </w:r>
      <w:r w:rsidRPr="00536FB6">
        <w:rPr>
          <w:rFonts w:asciiTheme="minorHAnsi" w:hAnsiTheme="minorHAnsi" w:cstheme="minorHAnsi"/>
          <w:color w:val="000000" w:themeColor="text1"/>
        </w:rPr>
        <w:t xml:space="preserve"> SWOT analysis is instrumental in identifying potential risks and challenges. By collecting data related to external threats, such as competition or economic fluctuations, McGraw Hill can assess the severity of these risks and take proactive measures to mitigate them.</w:t>
      </w:r>
    </w:p>
    <w:p w14:paraId="50D6E002" w14:textId="77777777" w:rsidR="007F29EE" w:rsidRPr="00536FB6" w:rsidRDefault="007F29EE" w:rsidP="007F29EE">
      <w:pPr>
        <w:pStyle w:val="NormalWeb"/>
        <w:rPr>
          <w:rFonts w:asciiTheme="minorHAnsi" w:hAnsiTheme="minorHAnsi" w:cstheme="minorHAnsi"/>
          <w:color w:val="000000" w:themeColor="text1"/>
        </w:rPr>
      </w:pPr>
      <w:r w:rsidRPr="00536FB6">
        <w:rPr>
          <w:rFonts w:asciiTheme="minorHAnsi" w:hAnsiTheme="minorHAnsi" w:cstheme="minorHAnsi"/>
          <w:color w:val="000000" w:themeColor="text1"/>
        </w:rPr>
        <w:t>For instance, data indicating the presence of well-established competitors in Sweden and Denmark is crucial for recognizing the threat of competition. This recognition prompts McGraw Hill to develop strategies focused on differentiation and innovation.</w:t>
      </w:r>
    </w:p>
    <w:p w14:paraId="2207534B" w14:textId="77777777" w:rsidR="007F29EE" w:rsidRPr="00536FB6" w:rsidRDefault="007F29EE" w:rsidP="007F29EE">
      <w:pPr>
        <w:pStyle w:val="NormalWeb"/>
        <w:rPr>
          <w:rFonts w:asciiTheme="minorHAnsi" w:hAnsiTheme="minorHAnsi" w:cstheme="minorHAnsi"/>
          <w:color w:val="000000" w:themeColor="text1"/>
        </w:rPr>
      </w:pPr>
      <w:r w:rsidRPr="00D36B96">
        <w:rPr>
          <w:rFonts w:asciiTheme="minorHAnsi" w:hAnsiTheme="minorHAnsi" w:cstheme="minorHAnsi"/>
          <w:b/>
          <w:bCs/>
          <w:color w:val="000000" w:themeColor="text1"/>
        </w:rPr>
        <w:t>Continuous Improvement:</w:t>
      </w:r>
      <w:r w:rsidRPr="00536FB6">
        <w:rPr>
          <w:rFonts w:asciiTheme="minorHAnsi" w:hAnsiTheme="minorHAnsi" w:cstheme="minorHAnsi"/>
          <w:color w:val="000000" w:themeColor="text1"/>
        </w:rPr>
        <w:t xml:space="preserve"> SWOT analysis emphasizes the importance of ongoing assessment and adaptation. Data collection is not a one-time effort but a continuous process. McGraw Hill can continuously collect data to measure its progress against success metrics, refine its approach, and ensure that its strategies remain effective in the dynamic Nordic education landscape.</w:t>
      </w:r>
    </w:p>
    <w:p w14:paraId="10A6C1AC" w14:textId="7A60AFF7" w:rsidR="007F29EE" w:rsidRPr="00536FB6" w:rsidRDefault="007F29EE" w:rsidP="007F29EE">
      <w:pPr>
        <w:pStyle w:val="NormalWeb"/>
        <w:rPr>
          <w:rFonts w:asciiTheme="minorHAnsi" w:hAnsiTheme="minorHAnsi" w:cstheme="minorHAnsi"/>
          <w:color w:val="000000" w:themeColor="text1"/>
        </w:rPr>
      </w:pPr>
      <w:r w:rsidRPr="00536FB6">
        <w:rPr>
          <w:rFonts w:asciiTheme="minorHAnsi" w:hAnsiTheme="minorHAnsi" w:cstheme="minorHAnsi"/>
          <w:color w:val="000000" w:themeColor="text1"/>
        </w:rPr>
        <w:t xml:space="preserve">Success metrics like "Market Penetration" and "Customer Satisfaction" rely on data-driven measurement and analysis. By continuously collecting and </w:t>
      </w:r>
      <w:r w:rsidR="00004D91" w:rsidRPr="00536FB6">
        <w:rPr>
          <w:rFonts w:asciiTheme="minorHAnsi" w:hAnsiTheme="minorHAnsi" w:cstheme="minorHAnsi"/>
          <w:color w:val="000000" w:themeColor="text1"/>
        </w:rPr>
        <w:t>analysing</w:t>
      </w:r>
      <w:r w:rsidRPr="00536FB6">
        <w:rPr>
          <w:rFonts w:asciiTheme="minorHAnsi" w:hAnsiTheme="minorHAnsi" w:cstheme="minorHAnsi"/>
          <w:color w:val="000000" w:themeColor="text1"/>
        </w:rPr>
        <w:t xml:space="preserve"> data on market share, user engagement, and customer feedback, McGraw Hill can gauge progress accurately and make adjustments accordingly.</w:t>
      </w:r>
    </w:p>
    <w:p w14:paraId="68609383" w14:textId="77777777" w:rsidR="007F29EE" w:rsidRPr="00536FB6" w:rsidRDefault="007F29EE" w:rsidP="007F29EE">
      <w:pPr>
        <w:pStyle w:val="NormalWeb"/>
        <w:rPr>
          <w:rFonts w:asciiTheme="minorHAnsi" w:hAnsiTheme="minorHAnsi" w:cstheme="minorHAnsi"/>
          <w:color w:val="000000" w:themeColor="text1"/>
        </w:rPr>
      </w:pPr>
    </w:p>
    <w:p w14:paraId="5C07F2FD" w14:textId="385193E7" w:rsidR="007F29EE" w:rsidRPr="00004D91" w:rsidRDefault="007F29EE" w:rsidP="007F29EE">
      <w:pPr>
        <w:pStyle w:val="NormalWeb"/>
        <w:rPr>
          <w:rFonts w:asciiTheme="minorHAnsi" w:hAnsiTheme="minorHAnsi" w:cstheme="minorHAnsi"/>
          <w:b/>
          <w:bCs/>
          <w:color w:val="000000" w:themeColor="text1"/>
          <w:sz w:val="28"/>
          <w:szCs w:val="28"/>
        </w:rPr>
      </w:pPr>
      <w:r w:rsidRPr="00004D91">
        <w:rPr>
          <w:rFonts w:asciiTheme="minorHAnsi" w:hAnsiTheme="minorHAnsi" w:cstheme="minorHAnsi"/>
          <w:b/>
          <w:bCs/>
          <w:color w:val="000000" w:themeColor="text1"/>
          <w:sz w:val="28"/>
          <w:szCs w:val="28"/>
        </w:rPr>
        <w:t>Role of Go-To-Market (GTM) Strategy</w:t>
      </w:r>
      <w:r w:rsidR="000A15D2">
        <w:rPr>
          <w:rFonts w:asciiTheme="minorHAnsi" w:hAnsiTheme="minorHAnsi" w:cstheme="minorHAnsi"/>
          <w:b/>
          <w:bCs/>
          <w:color w:val="000000" w:themeColor="text1"/>
          <w:sz w:val="28"/>
          <w:szCs w:val="28"/>
        </w:rPr>
        <w:t>-</w:t>
      </w:r>
    </w:p>
    <w:p w14:paraId="330BF514" w14:textId="5BA7ADF8" w:rsidR="007F29EE" w:rsidRPr="00536FB6" w:rsidRDefault="007F29EE" w:rsidP="007F29EE">
      <w:pPr>
        <w:pStyle w:val="NormalWeb"/>
        <w:rPr>
          <w:rFonts w:asciiTheme="minorHAnsi" w:hAnsiTheme="minorHAnsi" w:cstheme="minorHAnsi"/>
          <w:color w:val="000000" w:themeColor="text1"/>
        </w:rPr>
      </w:pPr>
      <w:r w:rsidRPr="00536FB6">
        <w:rPr>
          <w:rFonts w:asciiTheme="minorHAnsi" w:hAnsiTheme="minorHAnsi" w:cstheme="minorHAnsi"/>
          <w:color w:val="000000" w:themeColor="text1"/>
        </w:rPr>
        <w:t>A Go-To-Market (GTM) strategy is a comprehensive plan that outlines how a company will reach, engage, and satisfy customers in a target market. It encompasses various elements such as market segmentation, value proposition, distribution channels, pricing strategy, and marketing tactics</w:t>
      </w:r>
      <w:r w:rsidR="00045F96">
        <w:rPr>
          <w:rFonts w:asciiTheme="minorHAnsi" w:hAnsiTheme="minorHAnsi" w:cstheme="minorHAnsi"/>
          <w:color w:val="000000" w:themeColor="text1"/>
        </w:rPr>
        <w:t xml:space="preserve"> </w:t>
      </w:r>
      <w:proofErr w:type="gramStart"/>
      <w:r w:rsidR="00045F96">
        <w:rPr>
          <w:rFonts w:asciiTheme="minorHAnsi" w:hAnsiTheme="minorHAnsi" w:cstheme="minorHAnsi"/>
          <w:color w:val="000000" w:themeColor="text1"/>
        </w:rPr>
        <w:t>(</w:t>
      </w:r>
      <w:r w:rsidR="006272CE" w:rsidRPr="006272CE">
        <w:rPr>
          <w:rFonts w:asciiTheme="minorHAnsi" w:hAnsiTheme="minorHAnsi" w:cstheme="minorHAnsi"/>
          <w:color w:val="000000" w:themeColor="text1"/>
        </w:rPr>
        <w:t xml:space="preserve"> </w:t>
      </w:r>
      <w:r w:rsidR="006272CE" w:rsidRPr="00A969E5">
        <w:rPr>
          <w:rFonts w:asciiTheme="minorHAnsi" w:hAnsiTheme="minorHAnsi" w:cstheme="minorHAnsi"/>
          <w:color w:val="000000" w:themeColor="text1"/>
        </w:rPr>
        <w:t>King</w:t>
      </w:r>
      <w:proofErr w:type="gramEnd"/>
      <w:r w:rsidR="006272CE" w:rsidRPr="00A969E5">
        <w:rPr>
          <w:rFonts w:asciiTheme="minorHAnsi" w:hAnsiTheme="minorHAnsi" w:cstheme="minorHAnsi"/>
          <w:color w:val="000000" w:themeColor="text1"/>
        </w:rPr>
        <w:t>, K.A.2015</w:t>
      </w:r>
      <w:r w:rsidR="00045F96">
        <w:rPr>
          <w:rFonts w:asciiTheme="minorHAnsi" w:hAnsiTheme="minorHAnsi" w:cstheme="minorHAnsi"/>
          <w:color w:val="000000" w:themeColor="text1"/>
        </w:rPr>
        <w:t xml:space="preserve">). </w:t>
      </w:r>
      <w:r w:rsidRPr="00536FB6">
        <w:rPr>
          <w:rFonts w:asciiTheme="minorHAnsi" w:hAnsiTheme="minorHAnsi" w:cstheme="minorHAnsi"/>
          <w:color w:val="000000" w:themeColor="text1"/>
        </w:rPr>
        <w:t>In the context of McGraw Hill's expansion into the Nordic education markets, a GTM strategy is highly relevant and complements SWOT analysis.</w:t>
      </w:r>
    </w:p>
    <w:p w14:paraId="7C78590C" w14:textId="77777777" w:rsidR="007F29EE" w:rsidRPr="00536FB6" w:rsidRDefault="007F29EE" w:rsidP="007F29EE">
      <w:pPr>
        <w:pStyle w:val="NormalWeb"/>
        <w:rPr>
          <w:rFonts w:asciiTheme="minorHAnsi" w:hAnsiTheme="minorHAnsi" w:cstheme="minorHAnsi"/>
          <w:color w:val="000000" w:themeColor="text1"/>
        </w:rPr>
      </w:pPr>
      <w:r w:rsidRPr="00D36B96">
        <w:rPr>
          <w:rFonts w:asciiTheme="minorHAnsi" w:hAnsiTheme="minorHAnsi" w:cstheme="minorHAnsi"/>
          <w:b/>
          <w:bCs/>
          <w:color w:val="000000" w:themeColor="text1"/>
        </w:rPr>
        <w:t>Data-Driven Market Segmentation:</w:t>
      </w:r>
      <w:r w:rsidRPr="00536FB6">
        <w:rPr>
          <w:rFonts w:asciiTheme="minorHAnsi" w:hAnsiTheme="minorHAnsi" w:cstheme="minorHAnsi"/>
          <w:color w:val="000000" w:themeColor="text1"/>
        </w:rPr>
        <w:t xml:space="preserve"> A critical component of GTM strategy is market segmentation, which involves dividing the market into distinct customer segments based on characteristics and needs. Data plays a central role in this process. McGraw Hill needs relevant data on the Nordic education landscape, including demographic information, educational policies, and curriculum standards, to identify the specific segments to target.</w:t>
      </w:r>
    </w:p>
    <w:p w14:paraId="1CA16733" w14:textId="77777777" w:rsidR="007F29EE" w:rsidRPr="00536FB6" w:rsidRDefault="007F29EE" w:rsidP="007F29EE">
      <w:pPr>
        <w:pStyle w:val="NormalWeb"/>
        <w:rPr>
          <w:rFonts w:asciiTheme="minorHAnsi" w:hAnsiTheme="minorHAnsi" w:cstheme="minorHAnsi"/>
          <w:color w:val="000000" w:themeColor="text1"/>
        </w:rPr>
      </w:pPr>
      <w:r w:rsidRPr="00536FB6">
        <w:rPr>
          <w:rFonts w:asciiTheme="minorHAnsi" w:hAnsiTheme="minorHAnsi" w:cstheme="minorHAnsi"/>
          <w:color w:val="000000" w:themeColor="text1"/>
        </w:rPr>
        <w:lastRenderedPageBreak/>
        <w:t>For example, data on the preferences of educators and students, as well as curriculum requirements, are essential for segmenting the market effectively. McGraw Hill can tailor its offerings to meet the unique needs of different segments within each Nordic country.</w:t>
      </w:r>
    </w:p>
    <w:p w14:paraId="76C3C6D0" w14:textId="77777777" w:rsidR="007F29EE" w:rsidRPr="00536FB6" w:rsidRDefault="007F29EE" w:rsidP="007F29EE">
      <w:pPr>
        <w:pStyle w:val="NormalWeb"/>
        <w:rPr>
          <w:rFonts w:asciiTheme="minorHAnsi" w:hAnsiTheme="minorHAnsi" w:cstheme="minorHAnsi"/>
          <w:color w:val="000000" w:themeColor="text1"/>
        </w:rPr>
      </w:pPr>
      <w:r w:rsidRPr="00D36B96">
        <w:rPr>
          <w:rFonts w:asciiTheme="minorHAnsi" w:hAnsiTheme="minorHAnsi" w:cstheme="minorHAnsi"/>
          <w:b/>
          <w:bCs/>
          <w:color w:val="000000" w:themeColor="text1"/>
        </w:rPr>
        <w:t>Tailored Value Proposition:</w:t>
      </w:r>
      <w:r w:rsidRPr="00536FB6">
        <w:rPr>
          <w:rFonts w:asciiTheme="minorHAnsi" w:hAnsiTheme="minorHAnsi" w:cstheme="minorHAnsi"/>
          <w:color w:val="000000" w:themeColor="text1"/>
        </w:rPr>
        <w:t xml:space="preserve"> A GTM strategy requires a clear and compelling value proposition that resonates with the target audience. Data collected through SWOT analysis informs the value proposition by highlighting strengths and opportunities that can be leveraged to create value for customers.</w:t>
      </w:r>
    </w:p>
    <w:p w14:paraId="091521A1" w14:textId="77777777" w:rsidR="007F29EE" w:rsidRPr="00536FB6" w:rsidRDefault="007F29EE" w:rsidP="007F29EE">
      <w:pPr>
        <w:pStyle w:val="NormalWeb"/>
        <w:rPr>
          <w:rFonts w:asciiTheme="minorHAnsi" w:hAnsiTheme="minorHAnsi" w:cstheme="minorHAnsi"/>
          <w:color w:val="000000" w:themeColor="text1"/>
        </w:rPr>
      </w:pPr>
      <w:r w:rsidRPr="00536FB6">
        <w:rPr>
          <w:rFonts w:asciiTheme="minorHAnsi" w:hAnsiTheme="minorHAnsi" w:cstheme="minorHAnsi"/>
          <w:color w:val="000000" w:themeColor="text1"/>
        </w:rPr>
        <w:t>For instance, data indicating the presence of "Tech-Savvy Educators in Sweden" informs the value proposition by emphasizing McGraw Hill's innovative and tech-friendly solutions. This data-driven approach ensures that the value proposition is aligned with the specific needs and preferences of the Nordic market.</w:t>
      </w:r>
    </w:p>
    <w:p w14:paraId="49C13AED" w14:textId="77777777" w:rsidR="007F29EE" w:rsidRPr="00536FB6" w:rsidRDefault="007F29EE" w:rsidP="007F29EE">
      <w:pPr>
        <w:pStyle w:val="NormalWeb"/>
        <w:rPr>
          <w:rFonts w:asciiTheme="minorHAnsi" w:hAnsiTheme="minorHAnsi" w:cstheme="minorHAnsi"/>
          <w:color w:val="000000" w:themeColor="text1"/>
        </w:rPr>
      </w:pPr>
      <w:r w:rsidRPr="00D36B96">
        <w:rPr>
          <w:rFonts w:asciiTheme="minorHAnsi" w:hAnsiTheme="minorHAnsi" w:cstheme="minorHAnsi"/>
          <w:b/>
          <w:bCs/>
          <w:color w:val="000000" w:themeColor="text1"/>
        </w:rPr>
        <w:t>Distribution Channel Optimization:</w:t>
      </w:r>
      <w:r w:rsidRPr="00536FB6">
        <w:rPr>
          <w:rFonts w:asciiTheme="minorHAnsi" w:hAnsiTheme="minorHAnsi" w:cstheme="minorHAnsi"/>
          <w:color w:val="000000" w:themeColor="text1"/>
        </w:rPr>
        <w:t xml:space="preserve"> GTM strategy involves selecting the most effective distribution channels to reach the target audience. Data on distribution patterns, the presence of distributors and retailers, and the prevalence of online educational platforms are crucial for making informed decisions regarding distribution.</w:t>
      </w:r>
    </w:p>
    <w:p w14:paraId="01BFA8DA" w14:textId="77777777" w:rsidR="007F29EE" w:rsidRPr="00536FB6" w:rsidRDefault="007F29EE" w:rsidP="007F29EE">
      <w:pPr>
        <w:pStyle w:val="NormalWeb"/>
        <w:rPr>
          <w:rFonts w:asciiTheme="minorHAnsi" w:hAnsiTheme="minorHAnsi" w:cstheme="minorHAnsi"/>
          <w:color w:val="000000" w:themeColor="text1"/>
        </w:rPr>
      </w:pPr>
      <w:r w:rsidRPr="00536FB6">
        <w:rPr>
          <w:rFonts w:asciiTheme="minorHAnsi" w:hAnsiTheme="minorHAnsi" w:cstheme="minorHAnsi"/>
          <w:color w:val="000000" w:themeColor="text1"/>
        </w:rPr>
        <w:t>Data that highlights the popularity of online platforms in Nordic education indicates the need for an effective online distribution strategy. McGraw Hill can use this data to optimize its digital distribution channels and ensure widespread accessibility.</w:t>
      </w:r>
    </w:p>
    <w:p w14:paraId="6E3AF918" w14:textId="6C37DD4F" w:rsidR="007F29EE" w:rsidRPr="00536FB6" w:rsidRDefault="007F29EE" w:rsidP="007F29EE">
      <w:pPr>
        <w:pStyle w:val="NormalWeb"/>
        <w:rPr>
          <w:rFonts w:asciiTheme="minorHAnsi" w:hAnsiTheme="minorHAnsi" w:cstheme="minorHAnsi"/>
          <w:color w:val="000000" w:themeColor="text1"/>
        </w:rPr>
      </w:pPr>
      <w:r w:rsidRPr="00D36B96">
        <w:rPr>
          <w:rFonts w:asciiTheme="minorHAnsi" w:hAnsiTheme="minorHAnsi" w:cstheme="minorHAnsi"/>
          <w:b/>
          <w:bCs/>
          <w:color w:val="000000" w:themeColor="text1"/>
        </w:rPr>
        <w:t>Pricing Strategy Based on Data:</w:t>
      </w:r>
      <w:r w:rsidRPr="00536FB6">
        <w:rPr>
          <w:rFonts w:asciiTheme="minorHAnsi" w:hAnsiTheme="minorHAnsi" w:cstheme="minorHAnsi"/>
          <w:color w:val="000000" w:themeColor="text1"/>
        </w:rPr>
        <w:t xml:space="preserve"> Pricing is a critical aspect of GTM strategy. Data on market conditions, competitor pricing, and budget constraints of educational institutions provide valuable insights for setting competitive and attractive prices.</w:t>
      </w:r>
    </w:p>
    <w:p w14:paraId="4268B9D0" w14:textId="77777777" w:rsidR="007F29EE" w:rsidRPr="00536FB6" w:rsidRDefault="007F29EE" w:rsidP="007F29EE">
      <w:pPr>
        <w:pStyle w:val="NormalWeb"/>
        <w:rPr>
          <w:rFonts w:asciiTheme="minorHAnsi" w:hAnsiTheme="minorHAnsi" w:cstheme="minorHAnsi"/>
          <w:color w:val="000000" w:themeColor="text1"/>
        </w:rPr>
      </w:pPr>
      <w:r w:rsidRPr="00536FB6">
        <w:rPr>
          <w:rFonts w:asciiTheme="minorHAnsi" w:hAnsiTheme="minorHAnsi" w:cstheme="minorHAnsi"/>
          <w:color w:val="000000" w:themeColor="text1"/>
        </w:rPr>
        <w:t>For example, data on the budget constraints of educational institutions in Finland can guide McGraw Hill in offering flexible pricing models that align with the financial realities of the market.</w:t>
      </w:r>
    </w:p>
    <w:p w14:paraId="7C254FED" w14:textId="77777777" w:rsidR="007F29EE" w:rsidRPr="00536FB6" w:rsidRDefault="007F29EE" w:rsidP="007F29EE">
      <w:pPr>
        <w:pStyle w:val="NormalWeb"/>
        <w:rPr>
          <w:rFonts w:asciiTheme="minorHAnsi" w:hAnsiTheme="minorHAnsi" w:cstheme="minorHAnsi"/>
          <w:color w:val="000000" w:themeColor="text1"/>
        </w:rPr>
      </w:pPr>
      <w:r w:rsidRPr="00D36B96">
        <w:rPr>
          <w:rFonts w:asciiTheme="minorHAnsi" w:hAnsiTheme="minorHAnsi" w:cstheme="minorHAnsi"/>
          <w:b/>
          <w:bCs/>
          <w:color w:val="000000" w:themeColor="text1"/>
        </w:rPr>
        <w:t>Marketing Tactics Informed by Data:</w:t>
      </w:r>
      <w:r w:rsidRPr="00536FB6">
        <w:rPr>
          <w:rFonts w:asciiTheme="minorHAnsi" w:hAnsiTheme="minorHAnsi" w:cstheme="minorHAnsi"/>
          <w:color w:val="000000" w:themeColor="text1"/>
        </w:rPr>
        <w:t xml:space="preserve"> Marketing is a key component of GTM strategy. Data-driven marketing tactics ensure that promotional efforts are targeted, effective, and resonant with the audience. Data on digital adoption, social media engagement, and the preferences of educators and students guide marketing campaigns.</w:t>
      </w:r>
    </w:p>
    <w:p w14:paraId="49AA5F60" w14:textId="77777777" w:rsidR="00C04629" w:rsidRDefault="007F29EE" w:rsidP="007F29EE">
      <w:pPr>
        <w:pStyle w:val="NormalWeb"/>
        <w:rPr>
          <w:rFonts w:asciiTheme="minorHAnsi" w:hAnsiTheme="minorHAnsi" w:cstheme="minorHAnsi"/>
          <w:color w:val="000000" w:themeColor="text1"/>
        </w:rPr>
      </w:pPr>
      <w:r w:rsidRPr="00536FB6">
        <w:rPr>
          <w:rFonts w:asciiTheme="minorHAnsi" w:hAnsiTheme="minorHAnsi" w:cstheme="minorHAnsi"/>
          <w:color w:val="000000" w:themeColor="text1"/>
        </w:rPr>
        <w:t>For instance, data showing high engagement on social media platforms among educators and students in Norway informs the decision to prioritize social media marketing in that market.</w:t>
      </w:r>
    </w:p>
    <w:p w14:paraId="3D22640A" w14:textId="69AA69D1" w:rsidR="00595EA8" w:rsidRPr="00536FB6" w:rsidRDefault="007F29EE" w:rsidP="007F29EE">
      <w:pPr>
        <w:pStyle w:val="NormalWeb"/>
        <w:rPr>
          <w:rFonts w:asciiTheme="minorHAnsi" w:hAnsiTheme="minorHAnsi" w:cstheme="minorHAnsi"/>
          <w:color w:val="000000" w:themeColor="text1"/>
        </w:rPr>
      </w:pPr>
      <w:r w:rsidRPr="00536FB6">
        <w:rPr>
          <w:rFonts w:asciiTheme="minorHAnsi" w:hAnsiTheme="minorHAnsi" w:cstheme="minorHAnsi"/>
          <w:color w:val="000000" w:themeColor="text1"/>
        </w:rPr>
        <w:t>In summary, SWOT analysis and a Go-To-Market (GTM) strategy are highly suitable frameworks for data collection and analysis in McGraw Hill's expansion into the Nordic education markets. SWOT analysis enables comprehensive data collection, evidence-based decision-making, tailored strategy development, risk mitigation, and continuous improvement. It forms the foundation for identifying strengths, weaknesses, opportunities, and threats, all supported by relevant data.</w:t>
      </w:r>
    </w:p>
    <w:p w14:paraId="0A148183" w14:textId="4B3654FB" w:rsidR="00595EA8" w:rsidRPr="000A15D2" w:rsidRDefault="00595EA8" w:rsidP="00595EA8">
      <w:pPr>
        <w:pStyle w:val="NormalWeb"/>
        <w:rPr>
          <w:rFonts w:ascii="Segoe UI" w:hAnsi="Segoe UI" w:cs="Segoe UI"/>
          <w:b/>
          <w:bCs/>
          <w:color w:val="000000" w:themeColor="text1"/>
          <w:sz w:val="32"/>
          <w:szCs w:val="32"/>
          <w:u w:val="single"/>
        </w:rPr>
      </w:pPr>
      <w:r w:rsidRPr="000A15D2">
        <w:rPr>
          <w:rFonts w:ascii="Segoe UI" w:hAnsi="Segoe UI" w:cs="Segoe UI"/>
          <w:b/>
          <w:bCs/>
          <w:color w:val="000000" w:themeColor="text1"/>
          <w:sz w:val="32"/>
          <w:szCs w:val="32"/>
          <w:u w:val="single"/>
        </w:rPr>
        <w:lastRenderedPageBreak/>
        <w:t xml:space="preserve">Research </w:t>
      </w:r>
      <w:r w:rsidR="00587D62" w:rsidRPr="000A15D2">
        <w:rPr>
          <w:rFonts w:ascii="Segoe UI" w:hAnsi="Segoe UI" w:cs="Segoe UI"/>
          <w:b/>
          <w:bCs/>
          <w:color w:val="000000" w:themeColor="text1"/>
          <w:sz w:val="32"/>
          <w:szCs w:val="32"/>
          <w:u w:val="single"/>
        </w:rPr>
        <w:t>findings</w:t>
      </w:r>
      <w:r w:rsidR="00FA587C">
        <w:rPr>
          <w:rFonts w:ascii="Segoe UI" w:hAnsi="Segoe UI" w:cs="Segoe UI"/>
          <w:b/>
          <w:bCs/>
          <w:color w:val="000000" w:themeColor="text1"/>
          <w:sz w:val="32"/>
          <w:szCs w:val="32"/>
          <w:u w:val="single"/>
        </w:rPr>
        <w:t>:</w:t>
      </w:r>
      <w:r w:rsidRPr="000A15D2">
        <w:rPr>
          <w:rFonts w:ascii="Segoe UI" w:hAnsi="Segoe UI" w:cs="Segoe UI"/>
          <w:b/>
          <w:bCs/>
          <w:color w:val="000000" w:themeColor="text1"/>
          <w:sz w:val="32"/>
          <w:szCs w:val="32"/>
          <w:u w:val="single"/>
        </w:rPr>
        <w:t xml:space="preserve"> </w:t>
      </w:r>
    </w:p>
    <w:p w14:paraId="030D9FFC" w14:textId="5ADC83C2" w:rsidR="006E397D" w:rsidRPr="00A36351" w:rsidRDefault="006E397D" w:rsidP="006E397D">
      <w:pPr>
        <w:pStyle w:val="NormalWeb"/>
        <w:rPr>
          <w:rFonts w:asciiTheme="minorHAnsi" w:hAnsiTheme="minorHAnsi" w:cstheme="minorHAnsi"/>
          <w:color w:val="000000" w:themeColor="text1"/>
          <w:sz w:val="28"/>
          <w:szCs w:val="28"/>
        </w:rPr>
      </w:pPr>
      <w:r w:rsidRPr="00A36351">
        <w:rPr>
          <w:rFonts w:asciiTheme="minorHAnsi" w:hAnsiTheme="minorHAnsi" w:cstheme="minorHAnsi"/>
          <w:b/>
          <w:bCs/>
          <w:color w:val="000000" w:themeColor="text1"/>
          <w:sz w:val="28"/>
          <w:szCs w:val="28"/>
        </w:rPr>
        <w:t>SWOT Analysis</w:t>
      </w:r>
      <w:r w:rsidRPr="00A36351">
        <w:rPr>
          <w:rFonts w:asciiTheme="minorHAnsi" w:hAnsiTheme="minorHAnsi" w:cstheme="minorHAnsi"/>
          <w:color w:val="000000" w:themeColor="text1"/>
          <w:sz w:val="28"/>
          <w:szCs w:val="28"/>
        </w:rPr>
        <w:t>:</w:t>
      </w:r>
    </w:p>
    <w:p w14:paraId="61489DD1" w14:textId="77777777" w:rsidR="00FA587C" w:rsidRDefault="000B6BD7" w:rsidP="006E397D">
      <w:pPr>
        <w:pStyle w:val="NormalWeb"/>
        <w:rPr>
          <w:rFonts w:asciiTheme="minorHAnsi" w:hAnsiTheme="minorHAnsi" w:cstheme="minorHAnsi"/>
          <w:b/>
          <w:bCs/>
          <w:color w:val="000000" w:themeColor="text1"/>
          <w:sz w:val="28"/>
          <w:szCs w:val="28"/>
        </w:rPr>
      </w:pPr>
      <w:r w:rsidRPr="000A15D2">
        <w:rPr>
          <w:rFonts w:asciiTheme="minorHAnsi" w:hAnsiTheme="minorHAnsi" w:cstheme="minorHAnsi"/>
          <w:b/>
          <w:bCs/>
          <w:color w:val="000000" w:themeColor="text1"/>
          <w:sz w:val="28"/>
          <w:szCs w:val="28"/>
        </w:rPr>
        <w:t>Strengths:</w:t>
      </w:r>
    </w:p>
    <w:p w14:paraId="6972D48E" w14:textId="4A635F37" w:rsidR="006E397D" w:rsidRPr="00FA587C" w:rsidRDefault="006E397D" w:rsidP="006E397D">
      <w:pPr>
        <w:pStyle w:val="NormalWeb"/>
        <w:rPr>
          <w:rFonts w:asciiTheme="minorHAnsi" w:hAnsiTheme="minorHAnsi" w:cstheme="minorHAnsi"/>
          <w:b/>
          <w:bCs/>
          <w:color w:val="000000" w:themeColor="text1"/>
          <w:sz w:val="28"/>
          <w:szCs w:val="28"/>
        </w:rPr>
      </w:pPr>
      <w:r w:rsidRPr="00FA587C">
        <w:rPr>
          <w:rFonts w:asciiTheme="minorHAnsi" w:hAnsiTheme="minorHAnsi" w:cstheme="minorHAnsi"/>
          <w:b/>
          <w:bCs/>
          <w:color w:val="000000" w:themeColor="text1"/>
        </w:rPr>
        <w:t>Tech-Savvy Educators in Sweden:</w:t>
      </w:r>
      <w:r w:rsidRPr="00C04629">
        <w:rPr>
          <w:rFonts w:asciiTheme="minorHAnsi" w:hAnsiTheme="minorHAnsi" w:cstheme="minorHAnsi"/>
          <w:color w:val="000000" w:themeColor="text1"/>
        </w:rPr>
        <w:t xml:space="preserve"> The presence of tech-savvy educators in Sweden presents a significant strength, reflecting a focus on long-term value and impact on student learning outcomes. This aligns with McGraw Hill's mission of unlocking the potential of each learner.</w:t>
      </w:r>
    </w:p>
    <w:p w14:paraId="49B0233F" w14:textId="77777777" w:rsidR="006E397D" w:rsidRPr="00C04629" w:rsidRDefault="006E397D" w:rsidP="006E397D">
      <w:pPr>
        <w:pStyle w:val="NormalWeb"/>
        <w:rPr>
          <w:rFonts w:asciiTheme="minorHAnsi" w:hAnsiTheme="minorHAnsi" w:cstheme="minorHAnsi"/>
          <w:color w:val="000000" w:themeColor="text1"/>
        </w:rPr>
      </w:pPr>
      <w:r w:rsidRPr="00FA587C">
        <w:rPr>
          <w:rFonts w:asciiTheme="minorHAnsi" w:hAnsiTheme="minorHAnsi" w:cstheme="minorHAnsi"/>
          <w:b/>
          <w:bCs/>
          <w:color w:val="000000" w:themeColor="text1"/>
        </w:rPr>
        <w:t xml:space="preserve">Pragmatic Educators in Denmark: </w:t>
      </w:r>
      <w:r w:rsidRPr="00C04629">
        <w:rPr>
          <w:rFonts w:asciiTheme="minorHAnsi" w:hAnsiTheme="minorHAnsi" w:cstheme="minorHAnsi"/>
          <w:color w:val="000000" w:themeColor="text1"/>
        </w:rPr>
        <w:t>The presence of pragmatic educators in Denmark, who prioritize immediate benefits, can be seen as a strength. This aligns with McGraw Hill's commitment to supporting learners at every stage of their journey, including those seeking immediate benefits.</w:t>
      </w:r>
    </w:p>
    <w:p w14:paraId="430F91DD" w14:textId="78DBA86B" w:rsidR="006E397D" w:rsidRPr="000A15D2" w:rsidRDefault="000B6BD7" w:rsidP="006E397D">
      <w:pPr>
        <w:pStyle w:val="NormalWeb"/>
        <w:rPr>
          <w:rFonts w:asciiTheme="minorHAnsi" w:hAnsiTheme="minorHAnsi" w:cstheme="minorHAnsi"/>
          <w:b/>
          <w:bCs/>
          <w:color w:val="000000" w:themeColor="text1"/>
          <w:sz w:val="28"/>
          <w:szCs w:val="28"/>
        </w:rPr>
      </w:pPr>
      <w:r w:rsidRPr="000A15D2">
        <w:rPr>
          <w:rFonts w:asciiTheme="minorHAnsi" w:hAnsiTheme="minorHAnsi" w:cstheme="minorHAnsi"/>
          <w:b/>
          <w:bCs/>
          <w:color w:val="000000" w:themeColor="text1"/>
          <w:sz w:val="28"/>
          <w:szCs w:val="28"/>
        </w:rPr>
        <w:t>Weaknesses:</w:t>
      </w:r>
    </w:p>
    <w:p w14:paraId="21D4CE8F" w14:textId="77777777" w:rsidR="006E397D" w:rsidRPr="00C04629" w:rsidRDefault="006E397D" w:rsidP="006E397D">
      <w:pPr>
        <w:pStyle w:val="NormalWeb"/>
        <w:rPr>
          <w:rFonts w:asciiTheme="minorHAnsi" w:hAnsiTheme="minorHAnsi" w:cstheme="minorHAnsi"/>
          <w:color w:val="000000" w:themeColor="text1"/>
        </w:rPr>
      </w:pPr>
      <w:r w:rsidRPr="00FA587C">
        <w:rPr>
          <w:rFonts w:asciiTheme="minorHAnsi" w:hAnsiTheme="minorHAnsi" w:cstheme="minorHAnsi"/>
          <w:b/>
          <w:bCs/>
          <w:color w:val="000000" w:themeColor="text1"/>
        </w:rPr>
        <w:t xml:space="preserve">Longer Buying Cycle in Finland: </w:t>
      </w:r>
      <w:r w:rsidRPr="00C04629">
        <w:rPr>
          <w:rFonts w:asciiTheme="minorHAnsi" w:hAnsiTheme="minorHAnsi" w:cstheme="minorHAnsi"/>
          <w:color w:val="000000" w:themeColor="text1"/>
        </w:rPr>
        <w:t>In Finland, where educators are long-term planners, the longer buying cycle could be a potential weakness. McGraw Hill's digital platforms should be adaptable to meet the needs of educators who emphasize curriculum alignment and long-term planning.</w:t>
      </w:r>
    </w:p>
    <w:p w14:paraId="66BFD4D1" w14:textId="77777777" w:rsidR="006E397D" w:rsidRPr="00C04629" w:rsidRDefault="006E397D" w:rsidP="006E397D">
      <w:pPr>
        <w:pStyle w:val="NormalWeb"/>
        <w:rPr>
          <w:rFonts w:asciiTheme="minorHAnsi" w:hAnsiTheme="minorHAnsi" w:cstheme="minorHAnsi"/>
          <w:color w:val="000000" w:themeColor="text1"/>
        </w:rPr>
      </w:pPr>
      <w:r w:rsidRPr="00FA587C">
        <w:rPr>
          <w:rFonts w:asciiTheme="minorHAnsi" w:hAnsiTheme="minorHAnsi" w:cstheme="minorHAnsi"/>
          <w:b/>
          <w:bCs/>
          <w:color w:val="000000" w:themeColor="text1"/>
        </w:rPr>
        <w:t>Customization-Seeking Educators in Iceland:</w:t>
      </w:r>
      <w:r w:rsidRPr="00C04629">
        <w:rPr>
          <w:rFonts w:asciiTheme="minorHAnsi" w:hAnsiTheme="minorHAnsi" w:cstheme="minorHAnsi"/>
          <w:color w:val="000000" w:themeColor="text1"/>
        </w:rPr>
        <w:t xml:space="preserve"> While customization-seeking educators in Iceland offer an opportunity, their moderate to longer buying cycle due to customization needs could also be a weakness for McGraw Hill. The company must balance customization options with efficient sales processes.</w:t>
      </w:r>
    </w:p>
    <w:p w14:paraId="05708D90" w14:textId="26F4CABB" w:rsidR="006E397D" w:rsidRPr="000E1497" w:rsidRDefault="006E397D" w:rsidP="006E397D">
      <w:pPr>
        <w:pStyle w:val="NormalWeb"/>
        <w:rPr>
          <w:rFonts w:asciiTheme="minorHAnsi" w:hAnsiTheme="minorHAnsi" w:cstheme="minorHAnsi"/>
          <w:b/>
          <w:bCs/>
          <w:color w:val="000000" w:themeColor="text1"/>
        </w:rPr>
      </w:pPr>
      <w:r w:rsidRPr="000E1497">
        <w:rPr>
          <w:rFonts w:ascii="Segoe UI" w:hAnsi="Segoe UI" w:cs="Segoe UI"/>
          <w:b/>
          <w:bCs/>
          <w:color w:val="000000" w:themeColor="text1"/>
        </w:rPr>
        <w:t>Opportunities:</w:t>
      </w:r>
    </w:p>
    <w:p w14:paraId="1CE2DF98" w14:textId="77777777" w:rsidR="006E397D" w:rsidRPr="000E1497" w:rsidRDefault="006E397D" w:rsidP="006E397D">
      <w:pPr>
        <w:pStyle w:val="NormalWeb"/>
        <w:rPr>
          <w:rFonts w:asciiTheme="minorHAnsi" w:hAnsiTheme="minorHAnsi" w:cstheme="minorHAnsi"/>
          <w:color w:val="000000" w:themeColor="text1"/>
        </w:rPr>
      </w:pPr>
      <w:r w:rsidRPr="00FA587C">
        <w:rPr>
          <w:rFonts w:asciiTheme="minorHAnsi" w:hAnsiTheme="minorHAnsi" w:cstheme="minorHAnsi"/>
          <w:b/>
          <w:bCs/>
          <w:color w:val="000000" w:themeColor="text1"/>
        </w:rPr>
        <w:t>Visual Learners in Norway:</w:t>
      </w:r>
      <w:r w:rsidRPr="000E1497">
        <w:rPr>
          <w:rFonts w:asciiTheme="minorHAnsi" w:hAnsiTheme="minorHAnsi" w:cstheme="minorHAnsi"/>
          <w:color w:val="000000" w:themeColor="text1"/>
        </w:rPr>
        <w:t xml:space="preserve"> The relatively shorter buying cycle of visual learners in Norway presents an opportunity for McGraw Hill to offer visually engaging educational materials. This aligns with McGraw Hill's commitment to providing flexible tools that meet different teaching and learning styles.</w:t>
      </w:r>
    </w:p>
    <w:p w14:paraId="495DE22A" w14:textId="77777777" w:rsidR="006E397D" w:rsidRPr="000E1497" w:rsidRDefault="006E397D" w:rsidP="006E397D">
      <w:pPr>
        <w:pStyle w:val="NormalWeb"/>
        <w:rPr>
          <w:rFonts w:asciiTheme="minorHAnsi" w:hAnsiTheme="minorHAnsi" w:cstheme="minorHAnsi"/>
          <w:color w:val="000000" w:themeColor="text1"/>
        </w:rPr>
      </w:pPr>
      <w:r w:rsidRPr="00FA587C">
        <w:rPr>
          <w:rFonts w:asciiTheme="minorHAnsi" w:hAnsiTheme="minorHAnsi" w:cstheme="minorHAnsi"/>
          <w:b/>
          <w:bCs/>
          <w:color w:val="000000" w:themeColor="text1"/>
        </w:rPr>
        <w:t>Curriculum Alignment in Finland:</w:t>
      </w:r>
      <w:r w:rsidRPr="000E1497">
        <w:rPr>
          <w:rFonts w:asciiTheme="minorHAnsi" w:hAnsiTheme="minorHAnsi" w:cstheme="minorHAnsi"/>
          <w:color w:val="000000" w:themeColor="text1"/>
        </w:rPr>
        <w:t xml:space="preserve"> Finland's long-term planners emphasize alignment with curriculum goals. This offers an opportunity for McGraw Hill to develop and market educational solutions that closely align with curriculum requirements, in line with McGraw Hill's high-quality, trusted content.</w:t>
      </w:r>
    </w:p>
    <w:p w14:paraId="4F4D4830" w14:textId="19564AF1" w:rsidR="006E397D" w:rsidRPr="000A15D2" w:rsidRDefault="006E397D" w:rsidP="006E397D">
      <w:pPr>
        <w:pStyle w:val="NormalWeb"/>
        <w:rPr>
          <w:rFonts w:asciiTheme="minorHAnsi" w:hAnsiTheme="minorHAnsi" w:cstheme="minorHAnsi"/>
          <w:b/>
          <w:bCs/>
          <w:color w:val="000000" w:themeColor="text1"/>
          <w:sz w:val="28"/>
          <w:szCs w:val="28"/>
        </w:rPr>
      </w:pPr>
      <w:r w:rsidRPr="000A15D2">
        <w:rPr>
          <w:rFonts w:asciiTheme="minorHAnsi" w:hAnsiTheme="minorHAnsi" w:cstheme="minorHAnsi"/>
          <w:b/>
          <w:bCs/>
          <w:color w:val="000000" w:themeColor="text1"/>
          <w:sz w:val="28"/>
          <w:szCs w:val="28"/>
        </w:rPr>
        <w:t>Threats:</w:t>
      </w:r>
    </w:p>
    <w:p w14:paraId="749D7F0C" w14:textId="77777777" w:rsidR="006E397D" w:rsidRPr="000E1497" w:rsidRDefault="006E397D" w:rsidP="006E397D">
      <w:pPr>
        <w:pStyle w:val="NormalWeb"/>
        <w:rPr>
          <w:rFonts w:asciiTheme="minorHAnsi" w:hAnsiTheme="minorHAnsi" w:cstheme="minorHAnsi"/>
          <w:color w:val="000000" w:themeColor="text1"/>
        </w:rPr>
      </w:pPr>
      <w:r w:rsidRPr="00FA587C">
        <w:rPr>
          <w:rFonts w:asciiTheme="minorHAnsi" w:hAnsiTheme="minorHAnsi" w:cstheme="minorHAnsi"/>
          <w:b/>
          <w:bCs/>
          <w:color w:val="000000" w:themeColor="text1"/>
        </w:rPr>
        <w:t>Competition in Sweden and Denmark:</w:t>
      </w:r>
      <w:r w:rsidRPr="000E1497">
        <w:rPr>
          <w:rFonts w:asciiTheme="minorHAnsi" w:hAnsiTheme="minorHAnsi" w:cstheme="minorHAnsi"/>
          <w:color w:val="000000" w:themeColor="text1"/>
        </w:rPr>
        <w:t xml:space="preserve"> In Sweden and Denmark, competition in the educational technology market could pose threats to McGraw Hill. To address this, McGraw Hill should focus on offering unique and innovative digital platforms that cater to the specific needs of educators and learners in these markets.</w:t>
      </w:r>
    </w:p>
    <w:p w14:paraId="39FF7002" w14:textId="77777777" w:rsidR="006E397D" w:rsidRPr="000E1497" w:rsidRDefault="006E397D" w:rsidP="006E397D">
      <w:pPr>
        <w:pStyle w:val="NormalWeb"/>
        <w:rPr>
          <w:rFonts w:asciiTheme="minorHAnsi" w:hAnsiTheme="minorHAnsi" w:cstheme="minorHAnsi"/>
          <w:color w:val="000000" w:themeColor="text1"/>
        </w:rPr>
      </w:pPr>
      <w:r w:rsidRPr="00FA587C">
        <w:rPr>
          <w:rFonts w:asciiTheme="minorHAnsi" w:hAnsiTheme="minorHAnsi" w:cstheme="minorHAnsi"/>
          <w:b/>
          <w:bCs/>
          <w:color w:val="000000" w:themeColor="text1"/>
        </w:rPr>
        <w:lastRenderedPageBreak/>
        <w:t>Customization Challenges in Iceland:</w:t>
      </w:r>
      <w:r w:rsidRPr="000E1497">
        <w:rPr>
          <w:rFonts w:asciiTheme="minorHAnsi" w:hAnsiTheme="minorHAnsi" w:cstheme="minorHAnsi"/>
          <w:color w:val="000000" w:themeColor="text1"/>
        </w:rPr>
        <w:t xml:space="preserve"> In Iceland, the moderate to longer buying cycle due to customization requirements presents a threat. McGraw Hill should ensure that its digital platforms offer customization options while also streamlining the sales process to address this challenge.</w:t>
      </w:r>
    </w:p>
    <w:p w14:paraId="1821F5DB" w14:textId="70731CCE" w:rsidR="00BF032F" w:rsidRPr="004B7C11" w:rsidRDefault="00DC3390" w:rsidP="006E397D">
      <w:pPr>
        <w:pStyle w:val="NormalWeb"/>
        <w:rPr>
          <w:rFonts w:asciiTheme="minorHAnsi" w:hAnsiTheme="minorHAnsi" w:cstheme="minorHAnsi"/>
          <w:b/>
          <w:bCs/>
          <w:color w:val="000000" w:themeColor="text1"/>
          <w:sz w:val="28"/>
          <w:szCs w:val="28"/>
        </w:rPr>
      </w:pPr>
      <w:r w:rsidRPr="004B7C11">
        <w:rPr>
          <w:rFonts w:asciiTheme="minorHAnsi" w:hAnsiTheme="minorHAnsi" w:cstheme="minorHAnsi"/>
          <w:b/>
          <w:bCs/>
          <w:color w:val="000000" w:themeColor="text1"/>
          <w:sz w:val="28"/>
          <w:szCs w:val="28"/>
        </w:rPr>
        <w:t>GTM Strategy</w:t>
      </w:r>
      <w:r w:rsidR="004B7C11" w:rsidRPr="004B7C11">
        <w:rPr>
          <w:rFonts w:asciiTheme="minorHAnsi" w:hAnsiTheme="minorHAnsi" w:cstheme="minorHAnsi"/>
          <w:b/>
          <w:bCs/>
          <w:color w:val="000000" w:themeColor="text1"/>
          <w:sz w:val="28"/>
          <w:szCs w:val="28"/>
        </w:rPr>
        <w:t>:</w:t>
      </w:r>
    </w:p>
    <w:p w14:paraId="19CBBF3D" w14:textId="4B83878F" w:rsidR="00BF032F" w:rsidRPr="00C36A6B" w:rsidRDefault="00BF032F" w:rsidP="00BF032F">
      <w:pPr>
        <w:pStyle w:val="NormalWeb"/>
        <w:rPr>
          <w:rFonts w:ascii="Segoe UI" w:hAnsi="Segoe UI" w:cs="Segoe UI"/>
          <w:b/>
          <w:bCs/>
          <w:color w:val="000000" w:themeColor="text1"/>
        </w:rPr>
      </w:pPr>
      <w:r w:rsidRPr="00C36A6B">
        <w:rPr>
          <w:rFonts w:ascii="Segoe UI" w:hAnsi="Segoe UI" w:cs="Segoe UI"/>
          <w:b/>
          <w:bCs/>
          <w:color w:val="000000" w:themeColor="text1"/>
        </w:rPr>
        <w:t>Market Research &amp; Analysis:</w:t>
      </w:r>
    </w:p>
    <w:p w14:paraId="60CEB04B" w14:textId="77777777" w:rsidR="00BF032F" w:rsidRPr="00890B10" w:rsidRDefault="00BF032F" w:rsidP="00BF032F">
      <w:pPr>
        <w:pStyle w:val="NormalWeb"/>
        <w:rPr>
          <w:rFonts w:asciiTheme="minorHAnsi" w:hAnsiTheme="minorHAnsi" w:cstheme="minorHAnsi"/>
          <w:color w:val="000000" w:themeColor="text1"/>
        </w:rPr>
      </w:pPr>
      <w:r w:rsidRPr="00890B10">
        <w:rPr>
          <w:rFonts w:asciiTheme="minorHAnsi" w:hAnsiTheme="minorHAnsi" w:cstheme="minorHAnsi"/>
          <w:color w:val="000000" w:themeColor="text1"/>
        </w:rPr>
        <w:t>At the core of any successful GTM strategy lies a thorough comprehension of the market. To ensure a strong foothold in the Nordic countries, McGraw Hill should embark on extensive market research and analysis for each country individually. This research should encompass an exploration of education policies, curriculum standards, technology adoption rates, competitive landscapes, and demographic trends. By amassing data-driven insights, the company can tailor its offerings to cater to the specific needs and preferences of each Nordic market.</w:t>
      </w:r>
    </w:p>
    <w:p w14:paraId="68BBDF2D" w14:textId="77777777" w:rsidR="00637AB6" w:rsidRPr="00890B10" w:rsidRDefault="00BF032F" w:rsidP="00BF032F">
      <w:pPr>
        <w:pStyle w:val="NormalWeb"/>
        <w:rPr>
          <w:rFonts w:asciiTheme="minorHAnsi" w:hAnsiTheme="minorHAnsi" w:cstheme="minorHAnsi"/>
          <w:b/>
          <w:bCs/>
          <w:color w:val="000000" w:themeColor="text1"/>
          <w:sz w:val="28"/>
          <w:szCs w:val="28"/>
        </w:rPr>
      </w:pPr>
      <w:r w:rsidRPr="00890B10">
        <w:rPr>
          <w:rFonts w:asciiTheme="minorHAnsi" w:hAnsiTheme="minorHAnsi" w:cstheme="minorHAnsi"/>
          <w:b/>
          <w:bCs/>
          <w:color w:val="000000" w:themeColor="text1"/>
          <w:sz w:val="28"/>
          <w:szCs w:val="28"/>
        </w:rPr>
        <w:t>Segmentation and Targeting:</w:t>
      </w:r>
    </w:p>
    <w:p w14:paraId="7E79CE67" w14:textId="64C1EAFC" w:rsidR="00BF032F" w:rsidRPr="00890B10" w:rsidRDefault="00BF032F" w:rsidP="00BF032F">
      <w:pPr>
        <w:pStyle w:val="NormalWeb"/>
        <w:rPr>
          <w:rFonts w:asciiTheme="minorHAnsi" w:hAnsiTheme="minorHAnsi" w:cstheme="minorHAnsi"/>
          <w:b/>
          <w:bCs/>
          <w:color w:val="000000" w:themeColor="text1"/>
        </w:rPr>
      </w:pPr>
      <w:r w:rsidRPr="00890B10">
        <w:rPr>
          <w:rFonts w:asciiTheme="minorHAnsi" w:hAnsiTheme="minorHAnsi" w:cstheme="minorHAnsi"/>
          <w:color w:val="000000" w:themeColor="text1"/>
        </w:rPr>
        <w:t xml:space="preserve">Effective segmentation is a pivotal element in the Nordic context, where each country boasts its unique educational ecosystem. McGraw Hill should adopt a segmented approach to its target audience, considering factors such as educational personas, purchasing </w:t>
      </w:r>
      <w:r w:rsidR="006E140B" w:rsidRPr="00890B10">
        <w:rPr>
          <w:rFonts w:asciiTheme="minorHAnsi" w:hAnsiTheme="minorHAnsi" w:cstheme="minorHAnsi"/>
          <w:color w:val="000000" w:themeColor="text1"/>
        </w:rPr>
        <w:t>behaviours</w:t>
      </w:r>
      <w:r w:rsidRPr="00890B10">
        <w:rPr>
          <w:rFonts w:asciiTheme="minorHAnsi" w:hAnsiTheme="minorHAnsi" w:cstheme="minorHAnsi"/>
          <w:color w:val="000000" w:themeColor="text1"/>
        </w:rPr>
        <w:t>, and curriculum alignment. By identifying distinct customer groups, the company can devise targeted marketing and product strategies that resonate with educators, students, and educational institutions in each Nordic country.</w:t>
      </w:r>
    </w:p>
    <w:p w14:paraId="17C8CC3D" w14:textId="77777777" w:rsidR="00BF032F" w:rsidRPr="00890B10" w:rsidRDefault="00BF032F" w:rsidP="00BF032F">
      <w:pPr>
        <w:pStyle w:val="NormalWeb"/>
        <w:rPr>
          <w:rFonts w:asciiTheme="minorHAnsi" w:hAnsiTheme="minorHAnsi" w:cstheme="minorHAnsi"/>
          <w:b/>
          <w:bCs/>
          <w:color w:val="000000" w:themeColor="text1"/>
          <w:sz w:val="28"/>
          <w:szCs w:val="28"/>
        </w:rPr>
      </w:pPr>
      <w:r w:rsidRPr="00890B10">
        <w:rPr>
          <w:rFonts w:asciiTheme="minorHAnsi" w:hAnsiTheme="minorHAnsi" w:cstheme="minorHAnsi"/>
          <w:b/>
          <w:bCs/>
          <w:color w:val="000000" w:themeColor="text1"/>
          <w:sz w:val="28"/>
          <w:szCs w:val="28"/>
        </w:rPr>
        <w:t>Value Proposition:</w:t>
      </w:r>
    </w:p>
    <w:p w14:paraId="50819788" w14:textId="77777777" w:rsidR="00BF032F" w:rsidRPr="00890B10" w:rsidRDefault="00BF032F" w:rsidP="00BF032F">
      <w:pPr>
        <w:pStyle w:val="NormalWeb"/>
        <w:rPr>
          <w:rFonts w:asciiTheme="minorHAnsi" w:hAnsiTheme="minorHAnsi" w:cstheme="minorHAnsi"/>
          <w:color w:val="000000" w:themeColor="text1"/>
        </w:rPr>
      </w:pPr>
      <w:r w:rsidRPr="00890B10">
        <w:rPr>
          <w:rFonts w:asciiTheme="minorHAnsi" w:hAnsiTheme="minorHAnsi" w:cstheme="minorHAnsi"/>
          <w:color w:val="000000" w:themeColor="text1"/>
        </w:rPr>
        <w:t>To succeed in the Nordic region, McGraw Hill's value proposition should be localized to address the distinctive challenges and aspirations of educators and students. This entails offering educational solutions that align seamlessly with local curriculum goals, language preferences, and pedagogical approaches. Emphasizing the long-term value and positive learning outcomes delivered by McGraw Hill's resources will be paramount in attracting and retaining customers.</w:t>
      </w:r>
    </w:p>
    <w:p w14:paraId="70841C4A" w14:textId="77777777" w:rsidR="00BF032F" w:rsidRPr="00890B10" w:rsidRDefault="00BF032F" w:rsidP="00BF032F">
      <w:pPr>
        <w:pStyle w:val="NormalWeb"/>
        <w:rPr>
          <w:rFonts w:asciiTheme="minorHAnsi" w:hAnsiTheme="minorHAnsi" w:cstheme="minorHAnsi"/>
          <w:b/>
          <w:bCs/>
          <w:color w:val="000000" w:themeColor="text1"/>
          <w:sz w:val="28"/>
          <w:szCs w:val="28"/>
        </w:rPr>
      </w:pPr>
      <w:r w:rsidRPr="00890B10">
        <w:rPr>
          <w:rFonts w:asciiTheme="minorHAnsi" w:hAnsiTheme="minorHAnsi" w:cstheme="minorHAnsi"/>
          <w:b/>
          <w:bCs/>
          <w:color w:val="000000" w:themeColor="text1"/>
          <w:sz w:val="28"/>
          <w:szCs w:val="28"/>
        </w:rPr>
        <w:t>Localization:</w:t>
      </w:r>
    </w:p>
    <w:p w14:paraId="476D39AC" w14:textId="77777777" w:rsidR="00BF032F" w:rsidRPr="00890B10" w:rsidRDefault="00BF032F" w:rsidP="00BF032F">
      <w:pPr>
        <w:pStyle w:val="NormalWeb"/>
        <w:rPr>
          <w:rFonts w:asciiTheme="minorHAnsi" w:hAnsiTheme="minorHAnsi" w:cstheme="minorHAnsi"/>
          <w:color w:val="000000" w:themeColor="text1"/>
        </w:rPr>
      </w:pPr>
      <w:r w:rsidRPr="00890B10">
        <w:rPr>
          <w:rFonts w:asciiTheme="minorHAnsi" w:hAnsiTheme="minorHAnsi" w:cstheme="minorHAnsi"/>
          <w:color w:val="000000" w:themeColor="text1"/>
        </w:rPr>
        <w:t>Localization should extend beyond mere language translation. McGraw Hill must adapt its content, digital platforms, and marketing materials to align with the cultural and educational idiosyncrasies of each Nordic country. This includes the integration of local examples, case studies, and relevant content that resonates with educators and students. A well-executed localization approach conveys a commitment to understanding and addressing the specific needs of each Nordic market.</w:t>
      </w:r>
    </w:p>
    <w:p w14:paraId="3D3CAA60" w14:textId="77777777" w:rsidR="006A10DB" w:rsidRDefault="006A10DB" w:rsidP="00BF032F">
      <w:pPr>
        <w:pStyle w:val="NormalWeb"/>
        <w:rPr>
          <w:rFonts w:asciiTheme="minorHAnsi" w:hAnsiTheme="minorHAnsi" w:cstheme="minorHAnsi"/>
          <w:b/>
          <w:bCs/>
          <w:color w:val="000000" w:themeColor="text1"/>
          <w:sz w:val="28"/>
          <w:szCs w:val="28"/>
        </w:rPr>
      </w:pPr>
    </w:p>
    <w:p w14:paraId="5790E188" w14:textId="77777777" w:rsidR="004B7C11" w:rsidRDefault="004B7C11" w:rsidP="00BF032F">
      <w:pPr>
        <w:pStyle w:val="NormalWeb"/>
        <w:rPr>
          <w:rFonts w:asciiTheme="minorHAnsi" w:hAnsiTheme="minorHAnsi" w:cstheme="minorHAnsi"/>
          <w:b/>
          <w:bCs/>
          <w:color w:val="000000" w:themeColor="text1"/>
          <w:sz w:val="28"/>
          <w:szCs w:val="28"/>
        </w:rPr>
      </w:pPr>
    </w:p>
    <w:p w14:paraId="72874505" w14:textId="618572C5" w:rsidR="00BF032F" w:rsidRPr="00890B10" w:rsidRDefault="00BF032F" w:rsidP="00BF032F">
      <w:pPr>
        <w:pStyle w:val="NormalWeb"/>
        <w:rPr>
          <w:rFonts w:asciiTheme="minorHAnsi" w:hAnsiTheme="minorHAnsi" w:cstheme="minorHAnsi"/>
          <w:b/>
          <w:bCs/>
          <w:color w:val="000000" w:themeColor="text1"/>
          <w:sz w:val="28"/>
          <w:szCs w:val="28"/>
        </w:rPr>
      </w:pPr>
      <w:r w:rsidRPr="00890B10">
        <w:rPr>
          <w:rFonts w:asciiTheme="minorHAnsi" w:hAnsiTheme="minorHAnsi" w:cstheme="minorHAnsi"/>
          <w:b/>
          <w:bCs/>
          <w:color w:val="000000" w:themeColor="text1"/>
          <w:sz w:val="28"/>
          <w:szCs w:val="28"/>
        </w:rPr>
        <w:lastRenderedPageBreak/>
        <w:t>Partnerships and Alliances:</w:t>
      </w:r>
    </w:p>
    <w:p w14:paraId="3DA16AC6" w14:textId="77777777" w:rsidR="00BF032F" w:rsidRPr="00890B10" w:rsidRDefault="00BF032F" w:rsidP="00BF032F">
      <w:pPr>
        <w:pStyle w:val="NormalWeb"/>
        <w:rPr>
          <w:rFonts w:asciiTheme="minorHAnsi" w:hAnsiTheme="minorHAnsi" w:cstheme="minorHAnsi"/>
          <w:color w:val="000000" w:themeColor="text1"/>
        </w:rPr>
      </w:pPr>
      <w:r w:rsidRPr="00890B10">
        <w:rPr>
          <w:rFonts w:asciiTheme="minorHAnsi" w:hAnsiTheme="minorHAnsi" w:cstheme="minorHAnsi"/>
          <w:color w:val="000000" w:themeColor="text1"/>
        </w:rPr>
        <w:t>Collaboration with local educational institutions, government entities, and ed-tech partners is instrumental. Establishing strategic partnerships and alliances can grant access to the Nordic education ecosystem, providing invaluable insights, distribution channels, and opportunities for co-development of educational solutions tailored to the Nordic context.</w:t>
      </w:r>
    </w:p>
    <w:p w14:paraId="6F75756F" w14:textId="77777777" w:rsidR="00BF032F" w:rsidRPr="00890B10" w:rsidRDefault="00BF032F" w:rsidP="00BF032F">
      <w:pPr>
        <w:pStyle w:val="NormalWeb"/>
        <w:rPr>
          <w:rFonts w:asciiTheme="minorHAnsi" w:hAnsiTheme="minorHAnsi" w:cstheme="minorHAnsi"/>
          <w:b/>
          <w:bCs/>
          <w:color w:val="000000" w:themeColor="text1"/>
          <w:sz w:val="28"/>
          <w:szCs w:val="28"/>
        </w:rPr>
      </w:pPr>
      <w:r w:rsidRPr="00890B10">
        <w:rPr>
          <w:rFonts w:asciiTheme="minorHAnsi" w:hAnsiTheme="minorHAnsi" w:cstheme="minorHAnsi"/>
          <w:b/>
          <w:bCs/>
          <w:color w:val="000000" w:themeColor="text1"/>
          <w:sz w:val="28"/>
          <w:szCs w:val="28"/>
        </w:rPr>
        <w:t>Distribution Channels:</w:t>
      </w:r>
    </w:p>
    <w:p w14:paraId="28B10065" w14:textId="77777777" w:rsidR="00866FD4" w:rsidRPr="00890B10" w:rsidRDefault="00BF032F" w:rsidP="00BF032F">
      <w:pPr>
        <w:pStyle w:val="NormalWeb"/>
        <w:rPr>
          <w:rFonts w:asciiTheme="minorHAnsi" w:hAnsiTheme="minorHAnsi" w:cstheme="minorHAnsi"/>
          <w:color w:val="000000" w:themeColor="text1"/>
        </w:rPr>
      </w:pPr>
      <w:r w:rsidRPr="00890B10">
        <w:rPr>
          <w:rFonts w:asciiTheme="minorHAnsi" w:hAnsiTheme="minorHAnsi" w:cstheme="minorHAnsi"/>
          <w:color w:val="000000" w:themeColor="text1"/>
        </w:rPr>
        <w:t>Selecting the appropriate distribution channels is of paramount importance. While direct sales through the company's website remain crucial, forming partnerships with local educational distributors and forging collaborations with educational institutions' learning management systems can enhance market reach and simplify access to McGraw Hill's resources.</w:t>
      </w:r>
    </w:p>
    <w:p w14:paraId="5CDE6C37" w14:textId="1D74C819" w:rsidR="00BF032F" w:rsidRPr="00890B10" w:rsidRDefault="00BF032F" w:rsidP="00BF032F">
      <w:pPr>
        <w:pStyle w:val="NormalWeb"/>
        <w:rPr>
          <w:rFonts w:asciiTheme="minorHAnsi" w:hAnsiTheme="minorHAnsi" w:cstheme="minorHAnsi"/>
          <w:color w:val="000000" w:themeColor="text1"/>
          <w:sz w:val="28"/>
          <w:szCs w:val="28"/>
        </w:rPr>
      </w:pPr>
      <w:r w:rsidRPr="00890B10">
        <w:rPr>
          <w:rFonts w:asciiTheme="minorHAnsi" w:hAnsiTheme="minorHAnsi" w:cstheme="minorHAnsi"/>
          <w:b/>
          <w:bCs/>
          <w:color w:val="000000" w:themeColor="text1"/>
          <w:sz w:val="28"/>
          <w:szCs w:val="28"/>
        </w:rPr>
        <w:t>Pricing Strategy:</w:t>
      </w:r>
    </w:p>
    <w:p w14:paraId="473F953B" w14:textId="77777777" w:rsidR="00BF032F" w:rsidRPr="00890B10" w:rsidRDefault="00BF032F" w:rsidP="00BF032F">
      <w:pPr>
        <w:pStyle w:val="NormalWeb"/>
        <w:rPr>
          <w:rFonts w:asciiTheme="minorHAnsi" w:hAnsiTheme="minorHAnsi" w:cstheme="minorHAnsi"/>
          <w:color w:val="000000" w:themeColor="text1"/>
        </w:rPr>
      </w:pPr>
      <w:r w:rsidRPr="00890B10">
        <w:rPr>
          <w:rFonts w:asciiTheme="minorHAnsi" w:hAnsiTheme="minorHAnsi" w:cstheme="minorHAnsi"/>
          <w:color w:val="000000" w:themeColor="text1"/>
        </w:rPr>
        <w:t>A judicious pricing strategy is imperative. Pricing should be competitive and harmonized with local market norms. McGraw Hill should consider flexible pricing models to accommodate varying budget constraints across the Nordic countries. Additionally, offering bundled packages and subscription options can enhance affordability and broaden the company's customer base.</w:t>
      </w:r>
    </w:p>
    <w:p w14:paraId="347C9803" w14:textId="77777777" w:rsidR="00BF032F" w:rsidRPr="00890B10" w:rsidRDefault="00BF032F" w:rsidP="00BF032F">
      <w:pPr>
        <w:pStyle w:val="NormalWeb"/>
        <w:rPr>
          <w:rFonts w:asciiTheme="minorHAnsi" w:hAnsiTheme="minorHAnsi" w:cstheme="minorHAnsi"/>
          <w:b/>
          <w:bCs/>
          <w:color w:val="000000" w:themeColor="text1"/>
          <w:sz w:val="28"/>
          <w:szCs w:val="28"/>
        </w:rPr>
      </w:pPr>
      <w:r w:rsidRPr="00890B10">
        <w:rPr>
          <w:rFonts w:asciiTheme="minorHAnsi" w:hAnsiTheme="minorHAnsi" w:cstheme="minorHAnsi"/>
          <w:b/>
          <w:bCs/>
          <w:color w:val="000000" w:themeColor="text1"/>
          <w:sz w:val="28"/>
          <w:szCs w:val="28"/>
        </w:rPr>
        <w:t>Digital Transformation:</w:t>
      </w:r>
    </w:p>
    <w:p w14:paraId="006A0662" w14:textId="77777777" w:rsidR="00BF032F" w:rsidRPr="00890B10" w:rsidRDefault="00BF032F" w:rsidP="00BF032F">
      <w:pPr>
        <w:pStyle w:val="NormalWeb"/>
        <w:rPr>
          <w:rFonts w:asciiTheme="minorHAnsi" w:hAnsiTheme="minorHAnsi" w:cstheme="minorHAnsi"/>
          <w:color w:val="000000" w:themeColor="text1"/>
        </w:rPr>
      </w:pPr>
      <w:r w:rsidRPr="00890B10">
        <w:rPr>
          <w:rFonts w:asciiTheme="minorHAnsi" w:hAnsiTheme="minorHAnsi" w:cstheme="minorHAnsi"/>
          <w:color w:val="000000" w:themeColor="text1"/>
        </w:rPr>
        <w:t>In light of the ever-evolving educational landscape, McGraw Hill's digital transformation efforts are pivotal. The company should continue to invest in e-books, interactive learning tools, and online assessment platforms. A robust digital presence not only facilitates accessibility but also aligns seamlessly with the tech-savvy nature of educators and students in the Nordic region.</w:t>
      </w:r>
    </w:p>
    <w:p w14:paraId="154DE161" w14:textId="77777777" w:rsidR="00BF032F" w:rsidRPr="00890B10" w:rsidRDefault="00BF032F" w:rsidP="00BF032F">
      <w:pPr>
        <w:pStyle w:val="NormalWeb"/>
        <w:rPr>
          <w:rFonts w:asciiTheme="minorHAnsi" w:hAnsiTheme="minorHAnsi" w:cstheme="minorHAnsi"/>
          <w:b/>
          <w:bCs/>
          <w:color w:val="000000" w:themeColor="text1"/>
          <w:sz w:val="28"/>
          <w:szCs w:val="28"/>
        </w:rPr>
      </w:pPr>
      <w:r w:rsidRPr="00890B10">
        <w:rPr>
          <w:rFonts w:asciiTheme="minorHAnsi" w:hAnsiTheme="minorHAnsi" w:cstheme="minorHAnsi"/>
          <w:b/>
          <w:bCs/>
          <w:color w:val="000000" w:themeColor="text1"/>
          <w:sz w:val="28"/>
          <w:szCs w:val="28"/>
        </w:rPr>
        <w:t>Measuring Success:</w:t>
      </w:r>
    </w:p>
    <w:p w14:paraId="160CC09B" w14:textId="17997686" w:rsidR="00BF032F" w:rsidRPr="00890B10" w:rsidRDefault="00BF032F" w:rsidP="00BF032F">
      <w:pPr>
        <w:pStyle w:val="NormalWeb"/>
        <w:rPr>
          <w:rFonts w:asciiTheme="minorHAnsi" w:hAnsiTheme="minorHAnsi" w:cstheme="minorHAnsi"/>
          <w:color w:val="000000" w:themeColor="text1"/>
        </w:rPr>
      </w:pPr>
      <w:r w:rsidRPr="00890B10">
        <w:rPr>
          <w:rFonts w:asciiTheme="minorHAnsi" w:hAnsiTheme="minorHAnsi" w:cstheme="minorHAnsi"/>
          <w:color w:val="000000" w:themeColor="text1"/>
        </w:rPr>
        <w:t>Establishing key performance indicators is essential for evaluating the effectiveness of the GTM strategy. Metrics such as market penetration rates, user engagement levels, revenue growth trajectories, customer satisfaction scores, and the expansion of partnerships can serve as valuable indicators. Regular reviews and strategic adjustments based on these metrics are crucial to ensure the ongoing success of McGraw Hill's expansion into the diverse Nordic markets.</w:t>
      </w:r>
    </w:p>
    <w:p w14:paraId="47147F16" w14:textId="77777777" w:rsidR="00BF032F" w:rsidRPr="00890B10" w:rsidRDefault="00BF032F" w:rsidP="00BF032F">
      <w:pPr>
        <w:pStyle w:val="NormalWeb"/>
        <w:spacing w:before="0"/>
        <w:rPr>
          <w:rFonts w:asciiTheme="minorHAnsi" w:hAnsiTheme="minorHAnsi" w:cstheme="minorHAnsi"/>
          <w:color w:val="000000" w:themeColor="text1"/>
        </w:rPr>
      </w:pPr>
      <w:r w:rsidRPr="00890B10">
        <w:rPr>
          <w:rFonts w:asciiTheme="minorHAnsi" w:hAnsiTheme="minorHAnsi" w:cstheme="minorHAnsi"/>
          <w:color w:val="000000" w:themeColor="text1"/>
        </w:rPr>
        <w:t>In sum, crafting a well-structured GTM strategy for McGraw Hill's expansion into the Nordic countries entails a profound understanding of each market's unique attributes and dynamics. By conducting exhaustive market research, localizing content and offerings, forging strategic partnerships, and adapting pricing and distribution, McGraw Hill can establish itself as a trusted educational partner in the Nordic region. Success will not only be measured in terms of market share but also by the positive impact on education and learning outcomes across the diverse Nordic markets.</w:t>
      </w:r>
    </w:p>
    <w:p w14:paraId="4B6E40BA" w14:textId="3A503B6C" w:rsidR="00B760E7" w:rsidRPr="00D91362" w:rsidRDefault="00B760E7" w:rsidP="00BE0DDA">
      <w:pPr>
        <w:pStyle w:val="NormalWeb"/>
        <w:rPr>
          <w:rFonts w:asciiTheme="minorHAnsi" w:hAnsiTheme="minorHAnsi" w:cstheme="minorHAnsi"/>
          <w:b/>
          <w:bCs/>
          <w:sz w:val="32"/>
          <w:szCs w:val="32"/>
        </w:rPr>
      </w:pPr>
      <w:r w:rsidRPr="00D91362">
        <w:rPr>
          <w:rFonts w:asciiTheme="minorHAnsi" w:hAnsiTheme="minorHAnsi" w:cstheme="minorHAnsi"/>
          <w:b/>
          <w:bCs/>
          <w:sz w:val="32"/>
          <w:szCs w:val="32"/>
        </w:rPr>
        <w:lastRenderedPageBreak/>
        <w:t>Recommendations</w:t>
      </w:r>
      <w:r w:rsidR="00890B10" w:rsidRPr="00D91362">
        <w:rPr>
          <w:rFonts w:asciiTheme="minorHAnsi" w:hAnsiTheme="minorHAnsi" w:cstheme="minorHAnsi"/>
          <w:b/>
          <w:bCs/>
          <w:sz w:val="32"/>
          <w:szCs w:val="32"/>
        </w:rPr>
        <w:t>:</w:t>
      </w:r>
    </w:p>
    <w:p w14:paraId="740BEC00" w14:textId="764B8D07" w:rsidR="00BE0DDA" w:rsidRPr="005F4B9E" w:rsidRDefault="00B760E7" w:rsidP="00BE0DDA">
      <w:pPr>
        <w:pStyle w:val="NormalWeb"/>
        <w:rPr>
          <w:rFonts w:asciiTheme="minorHAnsi" w:hAnsiTheme="minorHAnsi" w:cstheme="minorHAnsi"/>
        </w:rPr>
      </w:pPr>
      <w:r>
        <w:rPr>
          <w:rFonts w:ascii="Segoe UI" w:hAnsi="Segoe UI" w:cs="Segoe UI"/>
          <w:sz w:val="21"/>
          <w:szCs w:val="21"/>
        </w:rPr>
        <w:t xml:space="preserve"> </w:t>
      </w:r>
      <w:r w:rsidR="00BE0DDA" w:rsidRPr="005F4B9E">
        <w:rPr>
          <w:rFonts w:asciiTheme="minorHAnsi" w:hAnsiTheme="minorHAnsi" w:cstheme="minorHAnsi"/>
          <w:b/>
          <w:bCs/>
        </w:rPr>
        <w:t>Cultural Ambassadors:</w:t>
      </w:r>
      <w:r w:rsidR="00BE0DDA" w:rsidRPr="005F4B9E">
        <w:rPr>
          <w:rFonts w:asciiTheme="minorHAnsi" w:hAnsiTheme="minorHAnsi" w:cstheme="minorHAnsi"/>
        </w:rPr>
        <w:t xml:space="preserve"> Appoint local experts as "Cultural Ambassadors" in each Nordic country to bridge the gap between McGraw Hill and local educational communities, aiding in content localization and cultural alignment.</w:t>
      </w:r>
    </w:p>
    <w:p w14:paraId="5704DB13" w14:textId="77777777" w:rsidR="00BE0DDA" w:rsidRPr="005F4B9E" w:rsidRDefault="00BE0DDA" w:rsidP="00BE0DDA">
      <w:pPr>
        <w:pStyle w:val="NormalWeb"/>
        <w:rPr>
          <w:rFonts w:asciiTheme="minorHAnsi" w:hAnsiTheme="minorHAnsi" w:cstheme="minorHAnsi"/>
        </w:rPr>
      </w:pPr>
      <w:r w:rsidRPr="005F4B9E">
        <w:rPr>
          <w:rFonts w:asciiTheme="minorHAnsi" w:hAnsiTheme="minorHAnsi" w:cstheme="minorHAnsi"/>
          <w:b/>
          <w:bCs/>
        </w:rPr>
        <w:t>Gamified Learning:</w:t>
      </w:r>
      <w:r w:rsidRPr="005F4B9E">
        <w:rPr>
          <w:rFonts w:asciiTheme="minorHAnsi" w:hAnsiTheme="minorHAnsi" w:cstheme="minorHAnsi"/>
        </w:rPr>
        <w:t xml:space="preserve"> Integrate gamified learning modules into educational materials to boost student engagement. Partner with local game developers to create culturally relevant gamified content.</w:t>
      </w:r>
    </w:p>
    <w:p w14:paraId="1226C36E" w14:textId="77777777" w:rsidR="00BE0DDA" w:rsidRPr="005F4B9E" w:rsidRDefault="00BE0DDA" w:rsidP="00BE0DDA">
      <w:pPr>
        <w:pStyle w:val="NormalWeb"/>
        <w:rPr>
          <w:rFonts w:asciiTheme="minorHAnsi" w:hAnsiTheme="minorHAnsi" w:cstheme="minorHAnsi"/>
        </w:rPr>
      </w:pPr>
      <w:r w:rsidRPr="005F4B9E">
        <w:rPr>
          <w:rFonts w:asciiTheme="minorHAnsi" w:hAnsiTheme="minorHAnsi" w:cstheme="minorHAnsi"/>
          <w:b/>
          <w:bCs/>
        </w:rPr>
        <w:t>Sustainability Focus:</w:t>
      </w:r>
      <w:r w:rsidRPr="005F4B9E">
        <w:rPr>
          <w:rFonts w:asciiTheme="minorHAnsi" w:hAnsiTheme="minorHAnsi" w:cstheme="minorHAnsi"/>
        </w:rPr>
        <w:t xml:space="preserve"> Emphasize sustainability within educational materials, aligning with the Nordic region's strong eco-consciousness. Incorporate sustainability themes to resonate with educators and students.</w:t>
      </w:r>
    </w:p>
    <w:p w14:paraId="51292959" w14:textId="77777777" w:rsidR="0010507C" w:rsidRPr="005F4B9E" w:rsidRDefault="00BE0DDA" w:rsidP="00BE0DDA">
      <w:pPr>
        <w:pStyle w:val="NormalWeb"/>
        <w:rPr>
          <w:rFonts w:asciiTheme="minorHAnsi" w:hAnsiTheme="minorHAnsi" w:cstheme="minorHAnsi"/>
        </w:rPr>
      </w:pPr>
      <w:r w:rsidRPr="005F4B9E">
        <w:rPr>
          <w:rFonts w:asciiTheme="minorHAnsi" w:hAnsiTheme="minorHAnsi" w:cstheme="minorHAnsi"/>
          <w:b/>
          <w:bCs/>
        </w:rPr>
        <w:t>Data-Driven Personalization:</w:t>
      </w:r>
      <w:r w:rsidRPr="005F4B9E">
        <w:rPr>
          <w:rFonts w:asciiTheme="minorHAnsi" w:hAnsiTheme="minorHAnsi" w:cstheme="minorHAnsi"/>
        </w:rPr>
        <w:t xml:space="preserve"> Use advanced data analytics to offer personalized learning experiences. Adapt content recommendations and study paths based on individual student progress, setting McGraw Hill apart in the Nordic market.</w:t>
      </w:r>
    </w:p>
    <w:p w14:paraId="3E3609C3" w14:textId="7A7AB971" w:rsidR="00BE0DDA" w:rsidRPr="005F4B9E" w:rsidRDefault="00BE0DDA" w:rsidP="00BE0DDA">
      <w:pPr>
        <w:pStyle w:val="NormalWeb"/>
        <w:rPr>
          <w:rFonts w:asciiTheme="minorHAnsi" w:hAnsiTheme="minorHAnsi" w:cstheme="minorHAnsi"/>
        </w:rPr>
      </w:pPr>
      <w:r w:rsidRPr="005F4B9E">
        <w:rPr>
          <w:rFonts w:asciiTheme="minorHAnsi" w:hAnsiTheme="minorHAnsi" w:cstheme="minorHAnsi"/>
          <w:b/>
          <w:bCs/>
        </w:rPr>
        <w:t>Blockchain Credentials:</w:t>
      </w:r>
      <w:r w:rsidRPr="005F4B9E">
        <w:rPr>
          <w:rFonts w:asciiTheme="minorHAnsi" w:hAnsiTheme="minorHAnsi" w:cstheme="minorHAnsi"/>
        </w:rPr>
        <w:t xml:space="preserve"> Explore blockchain tech for secure certification of educational achievements, aligning with the Nordic focus on digitalization and tech trust.</w:t>
      </w:r>
    </w:p>
    <w:p w14:paraId="293C61C5" w14:textId="77777777" w:rsidR="00BE0DDA" w:rsidRPr="005F4B9E" w:rsidRDefault="00BE0DDA" w:rsidP="00BE0DDA">
      <w:pPr>
        <w:pStyle w:val="NormalWeb"/>
        <w:rPr>
          <w:rFonts w:asciiTheme="minorHAnsi" w:hAnsiTheme="minorHAnsi" w:cstheme="minorHAnsi"/>
        </w:rPr>
      </w:pPr>
      <w:r w:rsidRPr="005F4B9E">
        <w:rPr>
          <w:rFonts w:asciiTheme="minorHAnsi" w:hAnsiTheme="minorHAnsi" w:cstheme="minorHAnsi"/>
          <w:b/>
          <w:bCs/>
        </w:rPr>
        <w:t>Educational Research Hub:</w:t>
      </w:r>
      <w:r w:rsidRPr="005F4B9E">
        <w:rPr>
          <w:rFonts w:asciiTheme="minorHAnsi" w:hAnsiTheme="minorHAnsi" w:cstheme="minorHAnsi"/>
        </w:rPr>
        <w:t xml:space="preserve"> Establish a Nordic research hub with local institutions to study the effectiveness of McGraw Hill's resources in Nordic classrooms.</w:t>
      </w:r>
    </w:p>
    <w:p w14:paraId="11A3CCE0" w14:textId="7726940E" w:rsidR="00BE0DDA" w:rsidRPr="005F4B9E" w:rsidRDefault="00BE0DDA" w:rsidP="00BE0DDA">
      <w:pPr>
        <w:pStyle w:val="NormalWeb"/>
        <w:rPr>
          <w:rFonts w:asciiTheme="minorHAnsi" w:hAnsiTheme="minorHAnsi" w:cstheme="minorHAnsi"/>
        </w:rPr>
      </w:pPr>
      <w:r w:rsidRPr="005F4B9E">
        <w:rPr>
          <w:rFonts w:asciiTheme="minorHAnsi" w:hAnsiTheme="minorHAnsi" w:cstheme="minorHAnsi"/>
          <w:b/>
          <w:bCs/>
        </w:rPr>
        <w:t>Teacher Empowerment:</w:t>
      </w:r>
      <w:r w:rsidRPr="005F4B9E">
        <w:rPr>
          <w:rFonts w:asciiTheme="minorHAnsi" w:hAnsiTheme="minorHAnsi" w:cstheme="minorHAnsi"/>
        </w:rPr>
        <w:t xml:space="preserve"> Empower Nordic teachers with digital tools and teaching methodologies, fostering loyalty and advocacy.</w:t>
      </w:r>
    </w:p>
    <w:p w14:paraId="548CE635" w14:textId="58396F9A" w:rsidR="00BE0DDA" w:rsidRPr="005F4B9E" w:rsidRDefault="00BE0DDA" w:rsidP="00BE0DDA">
      <w:pPr>
        <w:pStyle w:val="NormalWeb"/>
        <w:rPr>
          <w:rFonts w:asciiTheme="minorHAnsi" w:hAnsiTheme="minorHAnsi" w:cstheme="minorHAnsi"/>
        </w:rPr>
      </w:pPr>
      <w:r w:rsidRPr="005F4B9E">
        <w:rPr>
          <w:rFonts w:asciiTheme="minorHAnsi" w:hAnsiTheme="minorHAnsi" w:cstheme="minorHAnsi"/>
          <w:b/>
          <w:bCs/>
        </w:rPr>
        <w:t>Community Engagement Grants:</w:t>
      </w:r>
      <w:r w:rsidRPr="005F4B9E">
        <w:rPr>
          <w:rFonts w:asciiTheme="minorHAnsi" w:hAnsiTheme="minorHAnsi" w:cstheme="minorHAnsi"/>
        </w:rPr>
        <w:t xml:space="preserve"> Launch grants for community educational projects, showcasing commitment to the local community and the practical benefits of McGraw Hill's resources.</w:t>
      </w:r>
    </w:p>
    <w:p w14:paraId="3D7BC036" w14:textId="77777777" w:rsidR="00636E00" w:rsidRDefault="00636E00" w:rsidP="00636E00">
      <w:pPr>
        <w:pStyle w:val="NormalWeb"/>
        <w:rPr>
          <w:rFonts w:ascii="Segoe UI" w:hAnsi="Segoe UI" w:cs="Segoe UI"/>
          <w:sz w:val="21"/>
          <w:szCs w:val="21"/>
        </w:rPr>
      </w:pPr>
    </w:p>
    <w:p w14:paraId="4A51C72C" w14:textId="77777777" w:rsidR="00890B10" w:rsidRDefault="00890B10" w:rsidP="00636E00">
      <w:pPr>
        <w:pStyle w:val="NormalWeb"/>
        <w:rPr>
          <w:rFonts w:ascii="Segoe UI" w:hAnsi="Segoe UI" w:cs="Segoe UI"/>
          <w:b/>
          <w:bCs/>
          <w:sz w:val="28"/>
          <w:szCs w:val="28"/>
        </w:rPr>
      </w:pPr>
    </w:p>
    <w:p w14:paraId="095EC298" w14:textId="77777777" w:rsidR="00890B10" w:rsidRDefault="00890B10" w:rsidP="00636E00">
      <w:pPr>
        <w:pStyle w:val="NormalWeb"/>
        <w:rPr>
          <w:rFonts w:ascii="Segoe UI" w:hAnsi="Segoe UI" w:cs="Segoe UI"/>
          <w:b/>
          <w:bCs/>
          <w:sz w:val="28"/>
          <w:szCs w:val="28"/>
        </w:rPr>
      </w:pPr>
    </w:p>
    <w:p w14:paraId="478B1C12" w14:textId="77777777" w:rsidR="00890B10" w:rsidRDefault="00890B10" w:rsidP="00636E00">
      <w:pPr>
        <w:pStyle w:val="NormalWeb"/>
        <w:rPr>
          <w:rFonts w:ascii="Segoe UI" w:hAnsi="Segoe UI" w:cs="Segoe UI"/>
          <w:b/>
          <w:bCs/>
          <w:sz w:val="28"/>
          <w:szCs w:val="28"/>
        </w:rPr>
      </w:pPr>
    </w:p>
    <w:p w14:paraId="6E355CDA" w14:textId="77777777" w:rsidR="006B1525" w:rsidRDefault="006B1525" w:rsidP="00636E00">
      <w:pPr>
        <w:pStyle w:val="NormalWeb"/>
        <w:rPr>
          <w:rFonts w:asciiTheme="minorHAnsi" w:hAnsiTheme="minorHAnsi" w:cstheme="minorHAnsi"/>
          <w:b/>
          <w:bCs/>
          <w:sz w:val="28"/>
          <w:szCs w:val="28"/>
        </w:rPr>
      </w:pPr>
    </w:p>
    <w:p w14:paraId="5267FB7E" w14:textId="77777777" w:rsidR="006B1525" w:rsidRDefault="006B1525" w:rsidP="00636E00">
      <w:pPr>
        <w:pStyle w:val="NormalWeb"/>
        <w:rPr>
          <w:rFonts w:asciiTheme="minorHAnsi" w:hAnsiTheme="minorHAnsi" w:cstheme="minorHAnsi"/>
          <w:b/>
          <w:bCs/>
          <w:sz w:val="28"/>
          <w:szCs w:val="28"/>
        </w:rPr>
      </w:pPr>
    </w:p>
    <w:p w14:paraId="67C8018F" w14:textId="77777777" w:rsidR="006B1525" w:rsidRDefault="006B1525" w:rsidP="00636E00">
      <w:pPr>
        <w:pStyle w:val="NormalWeb"/>
        <w:rPr>
          <w:rFonts w:asciiTheme="minorHAnsi" w:hAnsiTheme="minorHAnsi" w:cstheme="minorHAnsi"/>
          <w:b/>
          <w:bCs/>
          <w:sz w:val="28"/>
          <w:szCs w:val="28"/>
        </w:rPr>
      </w:pPr>
    </w:p>
    <w:p w14:paraId="74DCBDCA" w14:textId="77777777" w:rsidR="006B1525" w:rsidRDefault="006B1525" w:rsidP="00636E00">
      <w:pPr>
        <w:pStyle w:val="NormalWeb"/>
        <w:rPr>
          <w:rFonts w:asciiTheme="minorHAnsi" w:hAnsiTheme="minorHAnsi" w:cstheme="minorHAnsi"/>
          <w:b/>
          <w:bCs/>
          <w:sz w:val="28"/>
          <w:szCs w:val="28"/>
        </w:rPr>
      </w:pPr>
    </w:p>
    <w:p w14:paraId="1E71EA97" w14:textId="77777777" w:rsidR="006B1525" w:rsidRDefault="006B1525" w:rsidP="00636E00">
      <w:pPr>
        <w:pStyle w:val="NormalWeb"/>
        <w:rPr>
          <w:rFonts w:asciiTheme="minorHAnsi" w:hAnsiTheme="minorHAnsi" w:cstheme="minorHAnsi"/>
          <w:b/>
          <w:bCs/>
          <w:sz w:val="28"/>
          <w:szCs w:val="28"/>
        </w:rPr>
      </w:pPr>
    </w:p>
    <w:p w14:paraId="1DE01920" w14:textId="2DC57B53" w:rsidR="004B7C11" w:rsidRPr="00EC32B2" w:rsidRDefault="004B7C11" w:rsidP="004B7C11">
      <w:pPr>
        <w:pStyle w:val="NormalWeb"/>
        <w:spacing w:before="0"/>
        <w:rPr>
          <w:rFonts w:asciiTheme="minorHAnsi" w:hAnsiTheme="minorHAnsi" w:cstheme="minorHAnsi"/>
          <w:b/>
          <w:bCs/>
          <w:color w:val="000000" w:themeColor="text1"/>
          <w:sz w:val="32"/>
          <w:szCs w:val="32"/>
          <w:u w:val="single"/>
        </w:rPr>
      </w:pPr>
      <w:r w:rsidRPr="00EC32B2">
        <w:rPr>
          <w:rFonts w:asciiTheme="minorHAnsi" w:hAnsiTheme="minorHAnsi" w:cstheme="minorHAnsi"/>
          <w:b/>
          <w:bCs/>
          <w:color w:val="000000" w:themeColor="text1"/>
          <w:sz w:val="32"/>
          <w:szCs w:val="32"/>
          <w:u w:val="single"/>
        </w:rPr>
        <w:t>References</w:t>
      </w:r>
      <w:r w:rsidR="00D91362">
        <w:rPr>
          <w:rFonts w:asciiTheme="minorHAnsi" w:hAnsiTheme="minorHAnsi" w:cstheme="minorHAnsi"/>
          <w:b/>
          <w:bCs/>
          <w:color w:val="000000" w:themeColor="text1"/>
          <w:sz w:val="32"/>
          <w:szCs w:val="32"/>
          <w:u w:val="single"/>
        </w:rPr>
        <w:t>:</w:t>
      </w:r>
    </w:p>
    <w:p w14:paraId="3930B25F" w14:textId="77777777" w:rsidR="004B7C11" w:rsidRPr="00536FB6" w:rsidRDefault="004B7C11" w:rsidP="004B7C11">
      <w:pPr>
        <w:pStyle w:val="NormalWeb"/>
        <w:spacing w:before="0"/>
        <w:rPr>
          <w:rFonts w:asciiTheme="minorHAnsi" w:hAnsiTheme="minorHAnsi" w:cstheme="minorHAnsi"/>
          <w:color w:val="000000" w:themeColor="text1"/>
        </w:rPr>
      </w:pPr>
      <w:r w:rsidRPr="008E2D0F">
        <w:rPr>
          <w:rFonts w:asciiTheme="minorHAnsi" w:hAnsiTheme="minorHAnsi" w:cstheme="minorHAnsi"/>
          <w:color w:val="000000" w:themeColor="text1"/>
        </w:rPr>
        <w:t>Magill, R. and Anderson, D.I., 2010. Motor learning and control. New York: McGraw-Hill Publishing.</w:t>
      </w:r>
    </w:p>
    <w:p w14:paraId="1C37C6DF" w14:textId="77777777" w:rsidR="004B7C11" w:rsidRDefault="004B7C11" w:rsidP="004B7C11">
      <w:pPr>
        <w:pStyle w:val="NormalWeb"/>
        <w:spacing w:before="0"/>
        <w:rPr>
          <w:rFonts w:asciiTheme="minorHAnsi" w:hAnsiTheme="minorHAnsi" w:cstheme="minorHAnsi"/>
          <w:color w:val="000000" w:themeColor="text1"/>
        </w:rPr>
      </w:pPr>
      <w:r w:rsidRPr="00BF4514">
        <w:rPr>
          <w:rFonts w:asciiTheme="minorHAnsi" w:hAnsiTheme="minorHAnsi" w:cstheme="minorHAnsi"/>
          <w:color w:val="000000" w:themeColor="text1"/>
        </w:rPr>
        <w:t xml:space="preserve">Haines, A. and Jones, R., 1994. Implementing findings of research. </w:t>
      </w:r>
      <w:proofErr w:type="spellStart"/>
      <w:r w:rsidRPr="00BF4514">
        <w:rPr>
          <w:rFonts w:asciiTheme="minorHAnsi" w:hAnsiTheme="minorHAnsi" w:cstheme="minorHAnsi"/>
          <w:color w:val="000000" w:themeColor="text1"/>
        </w:rPr>
        <w:t>Bmj</w:t>
      </w:r>
      <w:proofErr w:type="spellEnd"/>
      <w:r w:rsidRPr="00BF4514">
        <w:rPr>
          <w:rFonts w:asciiTheme="minorHAnsi" w:hAnsiTheme="minorHAnsi" w:cstheme="minorHAnsi"/>
          <w:color w:val="000000" w:themeColor="text1"/>
        </w:rPr>
        <w:t>, 308(6942), pp.1488-1492.</w:t>
      </w:r>
    </w:p>
    <w:p w14:paraId="22D5231E" w14:textId="77777777" w:rsidR="004B7C11" w:rsidRDefault="004B7C11" w:rsidP="004B7C11">
      <w:pPr>
        <w:pStyle w:val="NormalWeb"/>
        <w:spacing w:before="0"/>
      </w:pPr>
      <w:proofErr w:type="spellStart"/>
      <w:r w:rsidRPr="007C697E">
        <w:rPr>
          <w:rFonts w:asciiTheme="minorHAnsi" w:hAnsiTheme="minorHAnsi" w:cstheme="minorHAnsi"/>
          <w:color w:val="000000" w:themeColor="text1"/>
        </w:rPr>
        <w:t>Kizilcec</w:t>
      </w:r>
      <w:proofErr w:type="spellEnd"/>
      <w:r w:rsidRPr="007C697E">
        <w:rPr>
          <w:rFonts w:asciiTheme="minorHAnsi" w:hAnsiTheme="minorHAnsi" w:cstheme="minorHAnsi"/>
          <w:color w:val="000000" w:themeColor="text1"/>
        </w:rPr>
        <w:t>, R.F. and Lee, H., 2022. Algorithmic fairness in education. In The ethics of artificial intelligence in education (pp. 174-202). Routledge.</w:t>
      </w:r>
      <w:r w:rsidRPr="00972851">
        <w:t xml:space="preserve"> </w:t>
      </w:r>
    </w:p>
    <w:p w14:paraId="65B10206" w14:textId="77777777" w:rsidR="004B7C11" w:rsidRDefault="004B7C11" w:rsidP="004B7C11">
      <w:pPr>
        <w:pStyle w:val="NormalWeb"/>
        <w:spacing w:before="0"/>
        <w:rPr>
          <w:rFonts w:asciiTheme="minorHAnsi" w:hAnsiTheme="minorHAnsi" w:cstheme="minorHAnsi"/>
          <w:color w:val="000000" w:themeColor="text1"/>
        </w:rPr>
      </w:pPr>
      <w:r w:rsidRPr="00A969E5">
        <w:rPr>
          <w:rFonts w:asciiTheme="minorHAnsi" w:hAnsiTheme="minorHAnsi" w:cstheme="minorHAnsi"/>
          <w:color w:val="000000" w:themeColor="text1"/>
        </w:rPr>
        <w:t>King, K.A. (2015), "Global talent management: Introducing a strategic framework and multiple-actors model", Journal of Global Mobility, Vol. 3 No. 3, pp. 273-288.</w:t>
      </w:r>
    </w:p>
    <w:p w14:paraId="52A78EFF" w14:textId="77777777" w:rsidR="004B7C11" w:rsidRDefault="004B7C11" w:rsidP="004B7C11">
      <w:pPr>
        <w:pStyle w:val="NormalWeb"/>
        <w:spacing w:before="0"/>
        <w:rPr>
          <w:rFonts w:asciiTheme="minorHAnsi" w:hAnsiTheme="minorHAnsi" w:cstheme="minorHAnsi"/>
          <w:color w:val="000000" w:themeColor="text1"/>
        </w:rPr>
      </w:pPr>
      <w:r w:rsidRPr="00972851">
        <w:rPr>
          <w:rFonts w:asciiTheme="minorHAnsi" w:hAnsiTheme="minorHAnsi" w:cstheme="minorHAnsi"/>
          <w:color w:val="000000" w:themeColor="text1"/>
        </w:rPr>
        <w:t>Helms, M.M. and Nixon, J., 2010. Exploring SWOT analysis–where are we now? A review of academic research from the last decade. Journal of strategy and management, 3(3), pp.215-251.</w:t>
      </w:r>
    </w:p>
    <w:p w14:paraId="66F462CA" w14:textId="77777777" w:rsidR="004B7C11" w:rsidRDefault="004B7C11" w:rsidP="00636E00">
      <w:pPr>
        <w:pStyle w:val="NormalWeb"/>
        <w:rPr>
          <w:rFonts w:asciiTheme="minorHAnsi" w:hAnsiTheme="minorHAnsi" w:cstheme="minorHAnsi"/>
          <w:b/>
          <w:bCs/>
          <w:sz w:val="28"/>
          <w:szCs w:val="28"/>
          <w:u w:val="single"/>
        </w:rPr>
      </w:pPr>
    </w:p>
    <w:p w14:paraId="40FC0CB9" w14:textId="77777777" w:rsidR="004B7C11" w:rsidRDefault="004B7C11" w:rsidP="00636E00">
      <w:pPr>
        <w:pStyle w:val="NormalWeb"/>
        <w:rPr>
          <w:rFonts w:asciiTheme="minorHAnsi" w:hAnsiTheme="minorHAnsi" w:cstheme="minorHAnsi"/>
          <w:b/>
          <w:bCs/>
          <w:sz w:val="28"/>
          <w:szCs w:val="28"/>
          <w:u w:val="single"/>
        </w:rPr>
      </w:pPr>
    </w:p>
    <w:p w14:paraId="0E11A904" w14:textId="77777777" w:rsidR="004B7C11" w:rsidRDefault="004B7C11" w:rsidP="00636E00">
      <w:pPr>
        <w:pStyle w:val="NormalWeb"/>
        <w:rPr>
          <w:rFonts w:asciiTheme="minorHAnsi" w:hAnsiTheme="minorHAnsi" w:cstheme="minorHAnsi"/>
          <w:b/>
          <w:bCs/>
          <w:sz w:val="28"/>
          <w:szCs w:val="28"/>
          <w:u w:val="single"/>
        </w:rPr>
      </w:pPr>
    </w:p>
    <w:p w14:paraId="16D2B369" w14:textId="77777777" w:rsidR="004B7C11" w:rsidRDefault="004B7C11" w:rsidP="00636E00">
      <w:pPr>
        <w:pStyle w:val="NormalWeb"/>
        <w:rPr>
          <w:rFonts w:asciiTheme="minorHAnsi" w:hAnsiTheme="minorHAnsi" w:cstheme="minorHAnsi"/>
          <w:b/>
          <w:bCs/>
          <w:sz w:val="28"/>
          <w:szCs w:val="28"/>
          <w:u w:val="single"/>
        </w:rPr>
      </w:pPr>
    </w:p>
    <w:p w14:paraId="33324750" w14:textId="77777777" w:rsidR="004B7C11" w:rsidRDefault="004B7C11" w:rsidP="00636E00">
      <w:pPr>
        <w:pStyle w:val="NormalWeb"/>
        <w:rPr>
          <w:rFonts w:asciiTheme="minorHAnsi" w:hAnsiTheme="minorHAnsi" w:cstheme="minorHAnsi"/>
          <w:b/>
          <w:bCs/>
          <w:sz w:val="28"/>
          <w:szCs w:val="28"/>
          <w:u w:val="single"/>
        </w:rPr>
      </w:pPr>
    </w:p>
    <w:p w14:paraId="6E145E9F" w14:textId="77777777" w:rsidR="004B7C11" w:rsidRDefault="004B7C11" w:rsidP="00636E00">
      <w:pPr>
        <w:pStyle w:val="NormalWeb"/>
        <w:rPr>
          <w:rFonts w:asciiTheme="minorHAnsi" w:hAnsiTheme="minorHAnsi" w:cstheme="minorHAnsi"/>
          <w:b/>
          <w:bCs/>
          <w:sz w:val="28"/>
          <w:szCs w:val="28"/>
          <w:u w:val="single"/>
        </w:rPr>
      </w:pPr>
    </w:p>
    <w:p w14:paraId="04C1B317" w14:textId="77777777" w:rsidR="004B7C11" w:rsidRDefault="004B7C11" w:rsidP="00636E00">
      <w:pPr>
        <w:pStyle w:val="NormalWeb"/>
        <w:rPr>
          <w:rFonts w:asciiTheme="minorHAnsi" w:hAnsiTheme="minorHAnsi" w:cstheme="minorHAnsi"/>
          <w:b/>
          <w:bCs/>
          <w:sz w:val="28"/>
          <w:szCs w:val="28"/>
          <w:u w:val="single"/>
        </w:rPr>
      </w:pPr>
    </w:p>
    <w:p w14:paraId="1F321FA6" w14:textId="77777777" w:rsidR="004B7C11" w:rsidRDefault="004B7C11" w:rsidP="00636E00">
      <w:pPr>
        <w:pStyle w:val="NormalWeb"/>
        <w:rPr>
          <w:rFonts w:asciiTheme="minorHAnsi" w:hAnsiTheme="minorHAnsi" w:cstheme="minorHAnsi"/>
          <w:b/>
          <w:bCs/>
          <w:sz w:val="28"/>
          <w:szCs w:val="28"/>
          <w:u w:val="single"/>
        </w:rPr>
      </w:pPr>
    </w:p>
    <w:p w14:paraId="2E8F896C" w14:textId="77777777" w:rsidR="004B7C11" w:rsidRDefault="004B7C11" w:rsidP="00636E00">
      <w:pPr>
        <w:pStyle w:val="NormalWeb"/>
        <w:rPr>
          <w:rFonts w:asciiTheme="minorHAnsi" w:hAnsiTheme="minorHAnsi" w:cstheme="minorHAnsi"/>
          <w:b/>
          <w:bCs/>
          <w:sz w:val="28"/>
          <w:szCs w:val="28"/>
          <w:u w:val="single"/>
        </w:rPr>
      </w:pPr>
    </w:p>
    <w:p w14:paraId="7DD88DF7" w14:textId="77777777" w:rsidR="004B7C11" w:rsidRDefault="004B7C11" w:rsidP="00636E00">
      <w:pPr>
        <w:pStyle w:val="NormalWeb"/>
        <w:rPr>
          <w:rFonts w:asciiTheme="minorHAnsi" w:hAnsiTheme="minorHAnsi" w:cstheme="minorHAnsi"/>
          <w:b/>
          <w:bCs/>
          <w:sz w:val="28"/>
          <w:szCs w:val="28"/>
          <w:u w:val="single"/>
        </w:rPr>
      </w:pPr>
    </w:p>
    <w:p w14:paraId="492A22F3" w14:textId="77777777" w:rsidR="004B7C11" w:rsidRDefault="004B7C11" w:rsidP="00636E00">
      <w:pPr>
        <w:pStyle w:val="NormalWeb"/>
        <w:rPr>
          <w:rFonts w:asciiTheme="minorHAnsi" w:hAnsiTheme="minorHAnsi" w:cstheme="minorHAnsi"/>
          <w:b/>
          <w:bCs/>
          <w:sz w:val="28"/>
          <w:szCs w:val="28"/>
          <w:u w:val="single"/>
        </w:rPr>
      </w:pPr>
    </w:p>
    <w:p w14:paraId="387FA816" w14:textId="77777777" w:rsidR="004B7C11" w:rsidRDefault="004B7C11" w:rsidP="00636E00">
      <w:pPr>
        <w:pStyle w:val="NormalWeb"/>
        <w:rPr>
          <w:rFonts w:asciiTheme="minorHAnsi" w:hAnsiTheme="minorHAnsi" w:cstheme="minorHAnsi"/>
          <w:b/>
          <w:bCs/>
          <w:sz w:val="28"/>
          <w:szCs w:val="28"/>
          <w:u w:val="single"/>
        </w:rPr>
      </w:pPr>
    </w:p>
    <w:p w14:paraId="489198A3" w14:textId="77777777" w:rsidR="004B7C11" w:rsidRDefault="004B7C11" w:rsidP="00636E00">
      <w:pPr>
        <w:pStyle w:val="NormalWeb"/>
        <w:rPr>
          <w:rFonts w:asciiTheme="minorHAnsi" w:hAnsiTheme="minorHAnsi" w:cstheme="minorHAnsi"/>
          <w:b/>
          <w:bCs/>
          <w:sz w:val="28"/>
          <w:szCs w:val="28"/>
          <w:u w:val="single"/>
        </w:rPr>
      </w:pPr>
    </w:p>
    <w:p w14:paraId="607544B4" w14:textId="77777777" w:rsidR="004B7C11" w:rsidRDefault="004B7C11" w:rsidP="00636E00">
      <w:pPr>
        <w:pStyle w:val="NormalWeb"/>
        <w:rPr>
          <w:rFonts w:asciiTheme="minorHAnsi" w:hAnsiTheme="minorHAnsi" w:cstheme="minorHAnsi"/>
          <w:b/>
          <w:bCs/>
          <w:sz w:val="28"/>
          <w:szCs w:val="28"/>
          <w:u w:val="single"/>
        </w:rPr>
      </w:pPr>
    </w:p>
    <w:p w14:paraId="1E06A617" w14:textId="0DD99937" w:rsidR="00A7363B" w:rsidRPr="00EC32B2" w:rsidRDefault="00393422" w:rsidP="00636E00">
      <w:pPr>
        <w:pStyle w:val="NormalWeb"/>
        <w:rPr>
          <w:rFonts w:asciiTheme="minorHAnsi" w:hAnsiTheme="minorHAnsi" w:cstheme="minorHAnsi"/>
          <w:b/>
          <w:bCs/>
          <w:sz w:val="28"/>
          <w:szCs w:val="28"/>
          <w:u w:val="single"/>
        </w:rPr>
      </w:pPr>
      <w:r w:rsidRPr="00EC32B2">
        <w:rPr>
          <w:rFonts w:asciiTheme="minorHAnsi" w:hAnsiTheme="minorHAnsi" w:cstheme="minorHAnsi"/>
          <w:b/>
          <w:bCs/>
          <w:sz w:val="28"/>
          <w:szCs w:val="28"/>
          <w:u w:val="single"/>
        </w:rPr>
        <w:t>A</w:t>
      </w:r>
      <w:r w:rsidR="001F5F29" w:rsidRPr="00EC32B2">
        <w:rPr>
          <w:rFonts w:asciiTheme="minorHAnsi" w:hAnsiTheme="minorHAnsi" w:cstheme="minorHAnsi"/>
          <w:b/>
          <w:bCs/>
          <w:sz w:val="28"/>
          <w:szCs w:val="28"/>
          <w:u w:val="single"/>
        </w:rPr>
        <w:t>ppe</w:t>
      </w:r>
      <w:r w:rsidRPr="00EC32B2">
        <w:rPr>
          <w:rFonts w:asciiTheme="minorHAnsi" w:hAnsiTheme="minorHAnsi" w:cstheme="minorHAnsi"/>
          <w:b/>
          <w:bCs/>
          <w:sz w:val="28"/>
          <w:szCs w:val="28"/>
          <w:u w:val="single"/>
        </w:rPr>
        <w:t>ndix</w:t>
      </w:r>
      <w:r w:rsidR="00E02237" w:rsidRPr="00EC32B2">
        <w:rPr>
          <w:rFonts w:asciiTheme="minorHAnsi" w:hAnsiTheme="minorHAnsi" w:cstheme="minorHAnsi"/>
          <w:b/>
          <w:bCs/>
          <w:sz w:val="28"/>
          <w:szCs w:val="28"/>
          <w:u w:val="single"/>
        </w:rPr>
        <w:t>:</w:t>
      </w:r>
    </w:p>
    <w:p w14:paraId="2CF7F0E9" w14:textId="77777777" w:rsidR="00A7363B" w:rsidRPr="00636E00" w:rsidRDefault="00A7363B" w:rsidP="00636E00">
      <w:pPr>
        <w:pStyle w:val="NormalWeb"/>
        <w:rPr>
          <w:rFonts w:ascii="Segoe UI" w:hAnsi="Segoe UI" w:cs="Segoe UI"/>
          <w:sz w:val="21"/>
          <w:szCs w:val="21"/>
        </w:rPr>
      </w:pPr>
    </w:p>
    <w:tbl>
      <w:tblPr>
        <w:tblStyle w:val="TableGrid"/>
        <w:tblW w:w="9387" w:type="dxa"/>
        <w:tblLook w:val="04A0" w:firstRow="1" w:lastRow="0" w:firstColumn="1" w:lastColumn="0" w:noHBand="0" w:noVBand="1"/>
      </w:tblPr>
      <w:tblGrid>
        <w:gridCol w:w="2504"/>
        <w:gridCol w:w="6883"/>
      </w:tblGrid>
      <w:tr w:rsidR="00636E00" w14:paraId="433DC334" w14:textId="77777777" w:rsidTr="00F55AA6">
        <w:trPr>
          <w:trHeight w:val="647"/>
        </w:trPr>
        <w:tc>
          <w:tcPr>
            <w:tcW w:w="2504" w:type="dxa"/>
          </w:tcPr>
          <w:p w14:paraId="131EA214" w14:textId="7F42B35D" w:rsidR="00636E00" w:rsidRPr="004751A1" w:rsidRDefault="003F27DE" w:rsidP="00624269">
            <w:pPr>
              <w:pStyle w:val="NormalWeb"/>
              <w:spacing w:before="0"/>
              <w:rPr>
                <w:rFonts w:ascii="Segoe UI" w:hAnsi="Segoe UI" w:cs="Segoe UI"/>
                <w:b/>
                <w:bCs/>
                <w:color w:val="000000" w:themeColor="text1"/>
              </w:rPr>
            </w:pPr>
            <w:r w:rsidRPr="004751A1">
              <w:rPr>
                <w:rFonts w:ascii="Segoe UI" w:hAnsi="Segoe UI" w:cs="Segoe UI"/>
                <w:b/>
                <w:bCs/>
                <w:color w:val="000000" w:themeColor="text1"/>
              </w:rPr>
              <w:t xml:space="preserve">Country </w:t>
            </w:r>
          </w:p>
        </w:tc>
        <w:tc>
          <w:tcPr>
            <w:tcW w:w="6883" w:type="dxa"/>
          </w:tcPr>
          <w:p w14:paraId="193C8EC4" w14:textId="36D74C48" w:rsidR="00636E00" w:rsidRPr="004751A1" w:rsidRDefault="004751A1" w:rsidP="00624269">
            <w:pPr>
              <w:pStyle w:val="NormalWeb"/>
              <w:spacing w:before="0"/>
              <w:rPr>
                <w:rFonts w:ascii="Segoe UI" w:hAnsi="Segoe UI" w:cs="Segoe UI"/>
                <w:b/>
                <w:bCs/>
                <w:color w:val="000000" w:themeColor="text1"/>
              </w:rPr>
            </w:pPr>
            <w:r w:rsidRPr="004751A1">
              <w:rPr>
                <w:rFonts w:ascii="Segoe UI" w:hAnsi="Segoe UI" w:cs="Segoe UI"/>
                <w:b/>
                <w:bCs/>
                <w:color w:val="000000" w:themeColor="text1"/>
              </w:rPr>
              <w:t>Unique selling point</w:t>
            </w:r>
          </w:p>
        </w:tc>
      </w:tr>
      <w:tr w:rsidR="00636E00" w14:paraId="111A5EC8" w14:textId="77777777" w:rsidTr="00F55AA6">
        <w:trPr>
          <w:trHeight w:val="672"/>
        </w:trPr>
        <w:tc>
          <w:tcPr>
            <w:tcW w:w="2504" w:type="dxa"/>
          </w:tcPr>
          <w:p w14:paraId="33767F1A" w14:textId="505B8FC6" w:rsidR="00636E00" w:rsidRDefault="004751A1" w:rsidP="00624269">
            <w:pPr>
              <w:pStyle w:val="NormalWeb"/>
              <w:spacing w:before="0"/>
              <w:rPr>
                <w:rFonts w:ascii="Segoe UI" w:hAnsi="Segoe UI" w:cs="Segoe UI"/>
                <w:color w:val="000000" w:themeColor="text1"/>
              </w:rPr>
            </w:pPr>
            <w:r>
              <w:rPr>
                <w:rFonts w:ascii="Segoe UI" w:hAnsi="Segoe UI" w:cs="Segoe UI"/>
                <w:color w:val="000000" w:themeColor="text1"/>
              </w:rPr>
              <w:t xml:space="preserve">Denmark </w:t>
            </w:r>
          </w:p>
        </w:tc>
        <w:tc>
          <w:tcPr>
            <w:tcW w:w="6883" w:type="dxa"/>
          </w:tcPr>
          <w:p w14:paraId="63F6E0C9" w14:textId="126D6C40" w:rsidR="00636E00" w:rsidRDefault="00F91152" w:rsidP="00624269">
            <w:pPr>
              <w:pStyle w:val="NormalWeb"/>
              <w:spacing w:before="0"/>
              <w:rPr>
                <w:rFonts w:ascii="Segoe UI" w:hAnsi="Segoe UI" w:cs="Segoe UI"/>
                <w:color w:val="000000" w:themeColor="text1"/>
              </w:rPr>
            </w:pPr>
            <w:r w:rsidRPr="00F91152">
              <w:rPr>
                <w:rFonts w:ascii="Segoe UI" w:hAnsi="Segoe UI" w:cs="Segoe UI"/>
                <w:color w:val="000000" w:themeColor="text1"/>
              </w:rPr>
              <w:t>Customized Danish Content</w:t>
            </w:r>
          </w:p>
        </w:tc>
      </w:tr>
      <w:tr w:rsidR="00636E00" w14:paraId="52FD97EA" w14:textId="77777777" w:rsidTr="00F55AA6">
        <w:trPr>
          <w:trHeight w:val="647"/>
        </w:trPr>
        <w:tc>
          <w:tcPr>
            <w:tcW w:w="2504" w:type="dxa"/>
          </w:tcPr>
          <w:p w14:paraId="3BB2D761" w14:textId="77777777" w:rsidR="00636E00" w:rsidRDefault="00636E00" w:rsidP="00624269">
            <w:pPr>
              <w:pStyle w:val="NormalWeb"/>
              <w:spacing w:before="0"/>
              <w:rPr>
                <w:rFonts w:ascii="Segoe UI" w:hAnsi="Segoe UI" w:cs="Segoe UI"/>
                <w:color w:val="000000" w:themeColor="text1"/>
              </w:rPr>
            </w:pPr>
          </w:p>
        </w:tc>
        <w:tc>
          <w:tcPr>
            <w:tcW w:w="6883" w:type="dxa"/>
          </w:tcPr>
          <w:p w14:paraId="56FD6AF8" w14:textId="575F4D06" w:rsidR="00636E00" w:rsidRDefault="00F91152" w:rsidP="00624269">
            <w:pPr>
              <w:pStyle w:val="NormalWeb"/>
              <w:spacing w:before="0"/>
              <w:rPr>
                <w:rFonts w:ascii="Segoe UI" w:hAnsi="Segoe UI" w:cs="Segoe UI"/>
                <w:color w:val="000000" w:themeColor="text1"/>
              </w:rPr>
            </w:pPr>
            <w:r w:rsidRPr="00F91152">
              <w:rPr>
                <w:rFonts w:ascii="Segoe UI" w:hAnsi="Segoe UI" w:cs="Segoe UI"/>
                <w:color w:val="000000" w:themeColor="text1"/>
              </w:rPr>
              <w:t>Digital Learning Solutions</w:t>
            </w:r>
          </w:p>
        </w:tc>
      </w:tr>
      <w:tr w:rsidR="00636E00" w14:paraId="354BC1EF" w14:textId="77777777" w:rsidTr="00F55AA6">
        <w:trPr>
          <w:trHeight w:val="672"/>
        </w:trPr>
        <w:tc>
          <w:tcPr>
            <w:tcW w:w="2504" w:type="dxa"/>
          </w:tcPr>
          <w:p w14:paraId="65B9D475" w14:textId="27640A86" w:rsidR="00636E00" w:rsidRDefault="004751A1" w:rsidP="00624269">
            <w:pPr>
              <w:pStyle w:val="NormalWeb"/>
              <w:spacing w:before="0"/>
              <w:rPr>
                <w:rFonts w:ascii="Segoe UI" w:hAnsi="Segoe UI" w:cs="Segoe UI"/>
                <w:color w:val="000000" w:themeColor="text1"/>
              </w:rPr>
            </w:pPr>
            <w:r>
              <w:rPr>
                <w:rFonts w:ascii="Segoe UI" w:hAnsi="Segoe UI" w:cs="Segoe UI"/>
                <w:color w:val="000000" w:themeColor="text1"/>
              </w:rPr>
              <w:t>Finland</w:t>
            </w:r>
          </w:p>
        </w:tc>
        <w:tc>
          <w:tcPr>
            <w:tcW w:w="6883" w:type="dxa"/>
          </w:tcPr>
          <w:p w14:paraId="25186E4A" w14:textId="51444617" w:rsidR="00636E00" w:rsidRDefault="0069673D" w:rsidP="00624269">
            <w:pPr>
              <w:pStyle w:val="NormalWeb"/>
              <w:spacing w:before="0"/>
              <w:rPr>
                <w:rFonts w:ascii="Segoe UI" w:hAnsi="Segoe UI" w:cs="Segoe UI"/>
                <w:color w:val="000000" w:themeColor="text1"/>
              </w:rPr>
            </w:pPr>
            <w:r w:rsidRPr="0069673D">
              <w:rPr>
                <w:rFonts w:ascii="Segoe UI" w:hAnsi="Segoe UI" w:cs="Segoe UI"/>
                <w:color w:val="000000" w:themeColor="text1"/>
              </w:rPr>
              <w:t>Pedagogical Excellence</w:t>
            </w:r>
          </w:p>
        </w:tc>
      </w:tr>
      <w:tr w:rsidR="00636E00" w14:paraId="300671A8" w14:textId="77777777" w:rsidTr="00F55AA6">
        <w:trPr>
          <w:trHeight w:val="647"/>
        </w:trPr>
        <w:tc>
          <w:tcPr>
            <w:tcW w:w="2504" w:type="dxa"/>
          </w:tcPr>
          <w:p w14:paraId="365BB861" w14:textId="77777777" w:rsidR="00636E00" w:rsidRDefault="00636E00" w:rsidP="00624269">
            <w:pPr>
              <w:pStyle w:val="NormalWeb"/>
              <w:spacing w:before="0"/>
              <w:rPr>
                <w:rFonts w:ascii="Segoe UI" w:hAnsi="Segoe UI" w:cs="Segoe UI"/>
                <w:color w:val="000000" w:themeColor="text1"/>
              </w:rPr>
            </w:pPr>
          </w:p>
        </w:tc>
        <w:tc>
          <w:tcPr>
            <w:tcW w:w="6883" w:type="dxa"/>
          </w:tcPr>
          <w:p w14:paraId="77BD30CF" w14:textId="21C767B6" w:rsidR="00636E00" w:rsidRDefault="0069673D" w:rsidP="00624269">
            <w:pPr>
              <w:pStyle w:val="NormalWeb"/>
              <w:spacing w:before="0"/>
              <w:rPr>
                <w:rFonts w:ascii="Segoe UI" w:hAnsi="Segoe UI" w:cs="Segoe UI"/>
                <w:color w:val="000000" w:themeColor="text1"/>
              </w:rPr>
            </w:pPr>
            <w:r w:rsidRPr="0069673D">
              <w:rPr>
                <w:rFonts w:ascii="Segoe UI" w:hAnsi="Segoe UI" w:cs="Segoe UI"/>
                <w:color w:val="000000" w:themeColor="text1"/>
              </w:rPr>
              <w:t>Personalized Learning</w:t>
            </w:r>
          </w:p>
        </w:tc>
      </w:tr>
      <w:tr w:rsidR="00636E00" w14:paraId="3349BE5E" w14:textId="77777777" w:rsidTr="00F55AA6">
        <w:trPr>
          <w:trHeight w:val="647"/>
        </w:trPr>
        <w:tc>
          <w:tcPr>
            <w:tcW w:w="2504" w:type="dxa"/>
          </w:tcPr>
          <w:p w14:paraId="024308A3" w14:textId="00437C3F" w:rsidR="00636E00" w:rsidRDefault="004751A1" w:rsidP="00624269">
            <w:pPr>
              <w:pStyle w:val="NormalWeb"/>
              <w:spacing w:before="0"/>
              <w:rPr>
                <w:rFonts w:ascii="Segoe UI" w:hAnsi="Segoe UI" w:cs="Segoe UI"/>
                <w:color w:val="000000" w:themeColor="text1"/>
              </w:rPr>
            </w:pPr>
            <w:r>
              <w:rPr>
                <w:rFonts w:ascii="Segoe UI" w:hAnsi="Segoe UI" w:cs="Segoe UI"/>
                <w:color w:val="000000" w:themeColor="text1"/>
              </w:rPr>
              <w:t>Norway</w:t>
            </w:r>
          </w:p>
        </w:tc>
        <w:tc>
          <w:tcPr>
            <w:tcW w:w="6883" w:type="dxa"/>
          </w:tcPr>
          <w:p w14:paraId="60AEF715" w14:textId="0AB24F9B" w:rsidR="00636E00" w:rsidRDefault="00F55AA6" w:rsidP="00624269">
            <w:pPr>
              <w:pStyle w:val="NormalWeb"/>
              <w:spacing w:before="0"/>
              <w:rPr>
                <w:rFonts w:ascii="Segoe UI" w:hAnsi="Segoe UI" w:cs="Segoe UI"/>
                <w:color w:val="000000" w:themeColor="text1"/>
              </w:rPr>
            </w:pPr>
            <w:r w:rsidRPr="00F55AA6">
              <w:rPr>
                <w:rFonts w:ascii="Segoe UI" w:hAnsi="Segoe UI" w:cs="Segoe UI"/>
                <w:color w:val="000000" w:themeColor="text1"/>
              </w:rPr>
              <w:t>Local Content Integration</w:t>
            </w:r>
          </w:p>
        </w:tc>
      </w:tr>
      <w:tr w:rsidR="00636E00" w14:paraId="2B24E6EC" w14:textId="77777777" w:rsidTr="00F55AA6">
        <w:trPr>
          <w:trHeight w:val="672"/>
        </w:trPr>
        <w:tc>
          <w:tcPr>
            <w:tcW w:w="2504" w:type="dxa"/>
          </w:tcPr>
          <w:p w14:paraId="2F18EF8C" w14:textId="77777777" w:rsidR="00636E00" w:rsidRDefault="00636E00" w:rsidP="00624269">
            <w:pPr>
              <w:pStyle w:val="NormalWeb"/>
              <w:spacing w:before="0"/>
              <w:rPr>
                <w:rFonts w:ascii="Segoe UI" w:hAnsi="Segoe UI" w:cs="Segoe UI"/>
                <w:color w:val="000000" w:themeColor="text1"/>
              </w:rPr>
            </w:pPr>
          </w:p>
        </w:tc>
        <w:tc>
          <w:tcPr>
            <w:tcW w:w="6883" w:type="dxa"/>
          </w:tcPr>
          <w:p w14:paraId="6AAA87B4" w14:textId="01D502BC" w:rsidR="00636E00" w:rsidRDefault="004C2C7F" w:rsidP="00624269">
            <w:pPr>
              <w:pStyle w:val="NormalWeb"/>
              <w:spacing w:before="0"/>
              <w:rPr>
                <w:rFonts w:ascii="Segoe UI" w:hAnsi="Segoe UI" w:cs="Segoe UI"/>
                <w:color w:val="000000" w:themeColor="text1"/>
              </w:rPr>
            </w:pPr>
            <w:r w:rsidRPr="004C2C7F">
              <w:rPr>
                <w:rFonts w:ascii="Segoe UI" w:hAnsi="Segoe UI" w:cs="Segoe UI"/>
                <w:color w:val="000000" w:themeColor="text1"/>
              </w:rPr>
              <w:t>Teacher Support</w:t>
            </w:r>
          </w:p>
        </w:tc>
      </w:tr>
      <w:tr w:rsidR="00636E00" w14:paraId="68B90245" w14:textId="77777777" w:rsidTr="00F55AA6">
        <w:trPr>
          <w:trHeight w:val="647"/>
        </w:trPr>
        <w:tc>
          <w:tcPr>
            <w:tcW w:w="2504" w:type="dxa"/>
          </w:tcPr>
          <w:p w14:paraId="41BBC01B" w14:textId="352A23C6" w:rsidR="00636E00" w:rsidRDefault="004751A1" w:rsidP="00624269">
            <w:pPr>
              <w:pStyle w:val="NormalWeb"/>
              <w:spacing w:before="0"/>
              <w:rPr>
                <w:rFonts w:ascii="Segoe UI" w:hAnsi="Segoe UI" w:cs="Segoe UI"/>
                <w:color w:val="000000" w:themeColor="text1"/>
              </w:rPr>
            </w:pPr>
            <w:r>
              <w:rPr>
                <w:rFonts w:ascii="Segoe UI" w:hAnsi="Segoe UI" w:cs="Segoe UI"/>
                <w:color w:val="000000" w:themeColor="text1"/>
              </w:rPr>
              <w:t>Iceland</w:t>
            </w:r>
          </w:p>
        </w:tc>
        <w:tc>
          <w:tcPr>
            <w:tcW w:w="6883" w:type="dxa"/>
          </w:tcPr>
          <w:p w14:paraId="5AC59383" w14:textId="55D7068B" w:rsidR="00636E00" w:rsidRDefault="00B11012" w:rsidP="00624269">
            <w:pPr>
              <w:pStyle w:val="NormalWeb"/>
              <w:spacing w:before="0"/>
              <w:rPr>
                <w:rFonts w:ascii="Segoe UI" w:hAnsi="Segoe UI" w:cs="Segoe UI"/>
                <w:color w:val="000000" w:themeColor="text1"/>
              </w:rPr>
            </w:pPr>
            <w:r w:rsidRPr="00B11012">
              <w:rPr>
                <w:rFonts w:ascii="Segoe UI" w:hAnsi="Segoe UI" w:cs="Segoe UI"/>
                <w:color w:val="000000" w:themeColor="text1"/>
              </w:rPr>
              <w:t>Bilingual Resources</w:t>
            </w:r>
          </w:p>
        </w:tc>
      </w:tr>
      <w:tr w:rsidR="00636E00" w14:paraId="150ABDED" w14:textId="77777777" w:rsidTr="00F55AA6">
        <w:trPr>
          <w:trHeight w:val="672"/>
        </w:trPr>
        <w:tc>
          <w:tcPr>
            <w:tcW w:w="2504" w:type="dxa"/>
          </w:tcPr>
          <w:p w14:paraId="1C9910AC" w14:textId="77777777" w:rsidR="00636E00" w:rsidRDefault="00636E00" w:rsidP="00624269">
            <w:pPr>
              <w:pStyle w:val="NormalWeb"/>
              <w:spacing w:before="0"/>
              <w:rPr>
                <w:rFonts w:ascii="Segoe UI" w:hAnsi="Segoe UI" w:cs="Segoe UI"/>
                <w:color w:val="000000" w:themeColor="text1"/>
              </w:rPr>
            </w:pPr>
          </w:p>
        </w:tc>
        <w:tc>
          <w:tcPr>
            <w:tcW w:w="6883" w:type="dxa"/>
          </w:tcPr>
          <w:p w14:paraId="372156C6" w14:textId="44628CED" w:rsidR="00636E00" w:rsidRDefault="00B11012" w:rsidP="00624269">
            <w:pPr>
              <w:pStyle w:val="NormalWeb"/>
              <w:spacing w:before="0"/>
              <w:rPr>
                <w:rFonts w:ascii="Segoe UI" w:hAnsi="Segoe UI" w:cs="Segoe UI"/>
                <w:color w:val="000000" w:themeColor="text1"/>
              </w:rPr>
            </w:pPr>
            <w:r w:rsidRPr="00B11012">
              <w:rPr>
                <w:rFonts w:ascii="Segoe UI" w:hAnsi="Segoe UI" w:cs="Segoe UI"/>
                <w:color w:val="000000" w:themeColor="text1"/>
              </w:rPr>
              <w:t>Adaptability</w:t>
            </w:r>
          </w:p>
        </w:tc>
      </w:tr>
      <w:tr w:rsidR="00636E00" w14:paraId="3E7386A2" w14:textId="77777777" w:rsidTr="00F55AA6">
        <w:trPr>
          <w:trHeight w:val="647"/>
        </w:trPr>
        <w:tc>
          <w:tcPr>
            <w:tcW w:w="2504" w:type="dxa"/>
          </w:tcPr>
          <w:p w14:paraId="5824F853" w14:textId="349E9C3F" w:rsidR="00636E00" w:rsidRDefault="004751A1" w:rsidP="00624269">
            <w:pPr>
              <w:pStyle w:val="NormalWeb"/>
              <w:spacing w:before="0"/>
              <w:rPr>
                <w:rFonts w:ascii="Segoe UI" w:hAnsi="Segoe UI" w:cs="Segoe UI"/>
                <w:color w:val="000000" w:themeColor="text1"/>
              </w:rPr>
            </w:pPr>
            <w:r>
              <w:rPr>
                <w:rFonts w:ascii="Segoe UI" w:hAnsi="Segoe UI" w:cs="Segoe UI"/>
                <w:color w:val="000000" w:themeColor="text1"/>
              </w:rPr>
              <w:t xml:space="preserve">Sweden </w:t>
            </w:r>
          </w:p>
        </w:tc>
        <w:tc>
          <w:tcPr>
            <w:tcW w:w="6883" w:type="dxa"/>
          </w:tcPr>
          <w:p w14:paraId="1D577015" w14:textId="6BB5E5D8" w:rsidR="00636E00" w:rsidRDefault="004C2C7F" w:rsidP="00624269">
            <w:pPr>
              <w:pStyle w:val="NormalWeb"/>
              <w:spacing w:before="0"/>
              <w:rPr>
                <w:rFonts w:ascii="Segoe UI" w:hAnsi="Segoe UI" w:cs="Segoe UI"/>
                <w:color w:val="000000" w:themeColor="text1"/>
              </w:rPr>
            </w:pPr>
            <w:r w:rsidRPr="004C2C7F">
              <w:rPr>
                <w:rFonts w:ascii="Segoe UI" w:hAnsi="Segoe UI" w:cs="Segoe UI"/>
                <w:color w:val="000000" w:themeColor="text1"/>
              </w:rPr>
              <w:t>Innovative Learning Solutions</w:t>
            </w:r>
          </w:p>
        </w:tc>
      </w:tr>
    </w:tbl>
    <w:p w14:paraId="34CE6F93" w14:textId="77777777" w:rsidR="00BF4514" w:rsidRDefault="00BF4514" w:rsidP="008262C8">
      <w:pPr>
        <w:pStyle w:val="NormalWeb"/>
        <w:spacing w:before="0"/>
        <w:rPr>
          <w:rFonts w:asciiTheme="minorHAnsi" w:hAnsiTheme="minorHAnsi" w:cstheme="minorHAnsi"/>
          <w:color w:val="000000" w:themeColor="text1"/>
        </w:rPr>
      </w:pPr>
    </w:p>
    <w:p w14:paraId="7C5DA852" w14:textId="77777777" w:rsidR="004B7C11" w:rsidRDefault="004B7C11" w:rsidP="008262C8">
      <w:pPr>
        <w:pStyle w:val="NormalWeb"/>
        <w:spacing w:before="0"/>
        <w:rPr>
          <w:rFonts w:asciiTheme="minorHAnsi" w:hAnsiTheme="minorHAnsi" w:cstheme="minorHAnsi"/>
          <w:b/>
          <w:bCs/>
          <w:color w:val="000000" w:themeColor="text1"/>
          <w:sz w:val="32"/>
          <w:szCs w:val="32"/>
          <w:u w:val="single"/>
        </w:rPr>
      </w:pPr>
    </w:p>
    <w:p w14:paraId="55E3595E" w14:textId="77777777" w:rsidR="004B7C11" w:rsidRDefault="004B7C11" w:rsidP="008262C8">
      <w:pPr>
        <w:pStyle w:val="NormalWeb"/>
        <w:spacing w:before="0"/>
        <w:rPr>
          <w:rFonts w:asciiTheme="minorHAnsi" w:hAnsiTheme="minorHAnsi" w:cstheme="minorHAnsi"/>
          <w:b/>
          <w:bCs/>
          <w:color w:val="000000" w:themeColor="text1"/>
          <w:sz w:val="32"/>
          <w:szCs w:val="32"/>
          <w:u w:val="single"/>
        </w:rPr>
      </w:pPr>
    </w:p>
    <w:p w14:paraId="214F9F3C" w14:textId="77777777" w:rsidR="004B7C11" w:rsidRDefault="004B7C11" w:rsidP="008262C8">
      <w:pPr>
        <w:pStyle w:val="NormalWeb"/>
        <w:spacing w:before="0"/>
        <w:rPr>
          <w:rFonts w:asciiTheme="minorHAnsi" w:hAnsiTheme="minorHAnsi" w:cstheme="minorHAnsi"/>
          <w:b/>
          <w:bCs/>
          <w:color w:val="000000" w:themeColor="text1"/>
          <w:sz w:val="32"/>
          <w:szCs w:val="32"/>
          <w:u w:val="single"/>
        </w:rPr>
      </w:pPr>
    </w:p>
    <w:p w14:paraId="3B115402" w14:textId="77777777" w:rsidR="004B7C11" w:rsidRDefault="004B7C11" w:rsidP="008262C8">
      <w:pPr>
        <w:pStyle w:val="NormalWeb"/>
        <w:spacing w:before="0"/>
        <w:rPr>
          <w:rFonts w:asciiTheme="minorHAnsi" w:hAnsiTheme="minorHAnsi" w:cstheme="minorHAnsi"/>
          <w:b/>
          <w:bCs/>
          <w:color w:val="000000" w:themeColor="text1"/>
          <w:sz w:val="32"/>
          <w:szCs w:val="32"/>
          <w:u w:val="single"/>
        </w:rPr>
      </w:pPr>
    </w:p>
    <w:p w14:paraId="38ADFF8C" w14:textId="77777777" w:rsidR="004B7C11" w:rsidRDefault="004B7C11" w:rsidP="008262C8">
      <w:pPr>
        <w:pStyle w:val="NormalWeb"/>
        <w:spacing w:before="0"/>
        <w:rPr>
          <w:rFonts w:asciiTheme="minorHAnsi" w:hAnsiTheme="minorHAnsi" w:cstheme="minorHAnsi"/>
          <w:b/>
          <w:bCs/>
          <w:color w:val="000000" w:themeColor="text1"/>
          <w:sz w:val="32"/>
          <w:szCs w:val="32"/>
          <w:u w:val="single"/>
        </w:rPr>
      </w:pPr>
    </w:p>
    <w:p w14:paraId="345F2D77" w14:textId="77777777" w:rsidR="004B7C11" w:rsidRDefault="004B7C11" w:rsidP="008262C8">
      <w:pPr>
        <w:pStyle w:val="NormalWeb"/>
        <w:spacing w:before="0"/>
        <w:rPr>
          <w:rFonts w:asciiTheme="minorHAnsi" w:hAnsiTheme="minorHAnsi" w:cstheme="minorHAnsi"/>
          <w:b/>
          <w:bCs/>
          <w:color w:val="000000" w:themeColor="text1"/>
          <w:sz w:val="32"/>
          <w:szCs w:val="32"/>
          <w:u w:val="single"/>
        </w:rPr>
      </w:pPr>
    </w:p>
    <w:p w14:paraId="53E2DAD4" w14:textId="77777777" w:rsidR="002A487A" w:rsidRPr="00536FB6" w:rsidRDefault="002A487A" w:rsidP="00571356">
      <w:pPr>
        <w:pStyle w:val="NormalWeb"/>
        <w:spacing w:before="0"/>
        <w:rPr>
          <w:rFonts w:asciiTheme="minorHAnsi" w:hAnsiTheme="minorHAnsi" w:cstheme="minorHAnsi"/>
          <w:color w:val="000000" w:themeColor="text1"/>
        </w:rPr>
      </w:pPr>
    </w:p>
    <w:sectPr w:rsidR="002A487A" w:rsidRPr="00536FB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73768" w14:textId="77777777" w:rsidR="006D09AC" w:rsidRDefault="006D09AC" w:rsidP="006D09AC">
      <w:pPr>
        <w:spacing w:after="0" w:line="240" w:lineRule="auto"/>
      </w:pPr>
      <w:r>
        <w:separator/>
      </w:r>
    </w:p>
  </w:endnote>
  <w:endnote w:type="continuationSeparator" w:id="0">
    <w:p w14:paraId="0DBD8E5E" w14:textId="77777777" w:rsidR="006D09AC" w:rsidRDefault="006D09AC" w:rsidP="006D0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8384314"/>
      <w:docPartObj>
        <w:docPartGallery w:val="Page Numbers (Bottom of Page)"/>
        <w:docPartUnique/>
      </w:docPartObj>
    </w:sdtPr>
    <w:sdtEndPr>
      <w:rPr>
        <w:noProof/>
      </w:rPr>
    </w:sdtEndPr>
    <w:sdtContent>
      <w:p w14:paraId="193F20E5" w14:textId="45B4E6C1" w:rsidR="006D09AC" w:rsidRDefault="006D09A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617F50" w14:textId="77777777" w:rsidR="006D09AC" w:rsidRDefault="006D0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FD278" w14:textId="77777777" w:rsidR="006D09AC" w:rsidRDefault="006D09AC" w:rsidP="006D09AC">
      <w:pPr>
        <w:spacing w:after="0" w:line="240" w:lineRule="auto"/>
      </w:pPr>
      <w:r>
        <w:separator/>
      </w:r>
    </w:p>
  </w:footnote>
  <w:footnote w:type="continuationSeparator" w:id="0">
    <w:p w14:paraId="5132ADE4" w14:textId="77777777" w:rsidR="006D09AC" w:rsidRDefault="006D09AC" w:rsidP="006D09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893"/>
    <w:rsid w:val="00004D91"/>
    <w:rsid w:val="0002149B"/>
    <w:rsid w:val="0002691C"/>
    <w:rsid w:val="00045F96"/>
    <w:rsid w:val="00070125"/>
    <w:rsid w:val="00070165"/>
    <w:rsid w:val="000A15D2"/>
    <w:rsid w:val="000B6BD7"/>
    <w:rsid w:val="000E1497"/>
    <w:rsid w:val="000F2385"/>
    <w:rsid w:val="00101FAA"/>
    <w:rsid w:val="0010507C"/>
    <w:rsid w:val="0017246E"/>
    <w:rsid w:val="001A6868"/>
    <w:rsid w:val="001B3D4C"/>
    <w:rsid w:val="001E7F78"/>
    <w:rsid w:val="001F5F29"/>
    <w:rsid w:val="002053B8"/>
    <w:rsid w:val="002664CC"/>
    <w:rsid w:val="00293B1B"/>
    <w:rsid w:val="002A487A"/>
    <w:rsid w:val="002A741A"/>
    <w:rsid w:val="002C49C8"/>
    <w:rsid w:val="003032C1"/>
    <w:rsid w:val="00393422"/>
    <w:rsid w:val="0039401B"/>
    <w:rsid w:val="003F27DE"/>
    <w:rsid w:val="00425393"/>
    <w:rsid w:val="00435E2F"/>
    <w:rsid w:val="00454B1A"/>
    <w:rsid w:val="004751A1"/>
    <w:rsid w:val="004B7C11"/>
    <w:rsid w:val="004C2C7F"/>
    <w:rsid w:val="004D1881"/>
    <w:rsid w:val="004E7F32"/>
    <w:rsid w:val="004F01A4"/>
    <w:rsid w:val="004F66B3"/>
    <w:rsid w:val="00513F70"/>
    <w:rsid w:val="00534753"/>
    <w:rsid w:val="0053662E"/>
    <w:rsid w:val="00536FB6"/>
    <w:rsid w:val="005557D0"/>
    <w:rsid w:val="00571356"/>
    <w:rsid w:val="00575A82"/>
    <w:rsid w:val="00584F12"/>
    <w:rsid w:val="00587D62"/>
    <w:rsid w:val="0059399E"/>
    <w:rsid w:val="00595EA8"/>
    <w:rsid w:val="005A067C"/>
    <w:rsid w:val="005B0401"/>
    <w:rsid w:val="005B50A5"/>
    <w:rsid w:val="005C4EA1"/>
    <w:rsid w:val="005F470D"/>
    <w:rsid w:val="005F4B9E"/>
    <w:rsid w:val="00624269"/>
    <w:rsid w:val="00624CC4"/>
    <w:rsid w:val="006272CE"/>
    <w:rsid w:val="00632168"/>
    <w:rsid w:val="00636E00"/>
    <w:rsid w:val="00637AB6"/>
    <w:rsid w:val="006520D9"/>
    <w:rsid w:val="006859D4"/>
    <w:rsid w:val="0069673D"/>
    <w:rsid w:val="006A0155"/>
    <w:rsid w:val="006A10DB"/>
    <w:rsid w:val="006A66DF"/>
    <w:rsid w:val="006B1525"/>
    <w:rsid w:val="006D09AC"/>
    <w:rsid w:val="006E140B"/>
    <w:rsid w:val="006E397D"/>
    <w:rsid w:val="006F2F5E"/>
    <w:rsid w:val="0070281A"/>
    <w:rsid w:val="0070519A"/>
    <w:rsid w:val="007127A7"/>
    <w:rsid w:val="00730CCA"/>
    <w:rsid w:val="00743B2D"/>
    <w:rsid w:val="007A3302"/>
    <w:rsid w:val="007C09CD"/>
    <w:rsid w:val="007C62A8"/>
    <w:rsid w:val="007C697E"/>
    <w:rsid w:val="007C6A09"/>
    <w:rsid w:val="007F2435"/>
    <w:rsid w:val="007F29EE"/>
    <w:rsid w:val="00821DAB"/>
    <w:rsid w:val="008262C8"/>
    <w:rsid w:val="00850E27"/>
    <w:rsid w:val="00866FD4"/>
    <w:rsid w:val="00873E15"/>
    <w:rsid w:val="00874F0D"/>
    <w:rsid w:val="00880C92"/>
    <w:rsid w:val="00885978"/>
    <w:rsid w:val="00890B10"/>
    <w:rsid w:val="008D77B8"/>
    <w:rsid w:val="008E2D0F"/>
    <w:rsid w:val="00933717"/>
    <w:rsid w:val="00933C6D"/>
    <w:rsid w:val="0094179A"/>
    <w:rsid w:val="009505ED"/>
    <w:rsid w:val="009727C0"/>
    <w:rsid w:val="00972851"/>
    <w:rsid w:val="00982616"/>
    <w:rsid w:val="009A3350"/>
    <w:rsid w:val="009A7D31"/>
    <w:rsid w:val="009F7C6E"/>
    <w:rsid w:val="00A36351"/>
    <w:rsid w:val="00A40AAF"/>
    <w:rsid w:val="00A72C38"/>
    <w:rsid w:val="00A7363B"/>
    <w:rsid w:val="00A7710D"/>
    <w:rsid w:val="00A969E5"/>
    <w:rsid w:val="00AC7BB3"/>
    <w:rsid w:val="00AF3D6E"/>
    <w:rsid w:val="00B11012"/>
    <w:rsid w:val="00B22C42"/>
    <w:rsid w:val="00B760E7"/>
    <w:rsid w:val="00BC6CC1"/>
    <w:rsid w:val="00BE0DDA"/>
    <w:rsid w:val="00BF032F"/>
    <w:rsid w:val="00BF137C"/>
    <w:rsid w:val="00BF4514"/>
    <w:rsid w:val="00C04629"/>
    <w:rsid w:val="00C14931"/>
    <w:rsid w:val="00C36A6B"/>
    <w:rsid w:val="00C55C52"/>
    <w:rsid w:val="00C74290"/>
    <w:rsid w:val="00C90D58"/>
    <w:rsid w:val="00CA37CE"/>
    <w:rsid w:val="00CC02C9"/>
    <w:rsid w:val="00CF7467"/>
    <w:rsid w:val="00D10173"/>
    <w:rsid w:val="00D36B96"/>
    <w:rsid w:val="00D91362"/>
    <w:rsid w:val="00DC3390"/>
    <w:rsid w:val="00DF1F43"/>
    <w:rsid w:val="00E02237"/>
    <w:rsid w:val="00E532BB"/>
    <w:rsid w:val="00E53740"/>
    <w:rsid w:val="00E61992"/>
    <w:rsid w:val="00E65FC9"/>
    <w:rsid w:val="00EA6B88"/>
    <w:rsid w:val="00EC32B2"/>
    <w:rsid w:val="00EF13D0"/>
    <w:rsid w:val="00F33BF0"/>
    <w:rsid w:val="00F55AA6"/>
    <w:rsid w:val="00F737D6"/>
    <w:rsid w:val="00F752CE"/>
    <w:rsid w:val="00F91152"/>
    <w:rsid w:val="00FA4AEE"/>
    <w:rsid w:val="00FA587C"/>
    <w:rsid w:val="00FD48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F2B03"/>
  <w15:chartTrackingRefBased/>
  <w15:docId w15:val="{0E8B3D1D-B08D-41B1-B440-C2F5AFD74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CC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4F0D"/>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paragraph" w:styleId="z-TopofForm">
    <w:name w:val="HTML Top of Form"/>
    <w:basedOn w:val="Normal"/>
    <w:next w:val="Normal"/>
    <w:link w:val="z-TopofFormChar"/>
    <w:hidden/>
    <w:uiPriority w:val="99"/>
    <w:semiHidden/>
    <w:unhideWhenUsed/>
    <w:rsid w:val="004F66B3"/>
    <w:pPr>
      <w:pBdr>
        <w:bottom w:val="single" w:sz="6" w:space="1" w:color="auto"/>
      </w:pBdr>
      <w:spacing w:after="0" w:line="240" w:lineRule="auto"/>
      <w:jc w:val="center"/>
    </w:pPr>
    <w:rPr>
      <w:rFonts w:ascii="Arial" w:eastAsia="Times New Roman" w:hAnsi="Arial" w:cs="Arial"/>
      <w:vanish/>
      <w:kern w:val="0"/>
      <w:sz w:val="16"/>
      <w:szCs w:val="16"/>
      <w:lang w:val="en-IN" w:eastAsia="en-IN"/>
      <w14:ligatures w14:val="none"/>
    </w:rPr>
  </w:style>
  <w:style w:type="character" w:customStyle="1" w:styleId="z-TopofFormChar">
    <w:name w:val="z-Top of Form Char"/>
    <w:basedOn w:val="DefaultParagraphFont"/>
    <w:link w:val="z-TopofForm"/>
    <w:uiPriority w:val="99"/>
    <w:semiHidden/>
    <w:rsid w:val="004F66B3"/>
    <w:rPr>
      <w:rFonts w:ascii="Arial" w:eastAsia="Times New Roman" w:hAnsi="Arial" w:cs="Arial"/>
      <w:vanish/>
      <w:kern w:val="0"/>
      <w:sz w:val="16"/>
      <w:szCs w:val="16"/>
      <w:lang w:eastAsia="en-IN"/>
      <w14:ligatures w14:val="none"/>
    </w:rPr>
  </w:style>
  <w:style w:type="table" w:styleId="TableGrid">
    <w:name w:val="Table Grid"/>
    <w:basedOn w:val="TableNormal"/>
    <w:uiPriority w:val="39"/>
    <w:rsid w:val="00636E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969E5"/>
    <w:rPr>
      <w:color w:val="0000FF"/>
      <w:u w:val="single"/>
    </w:rPr>
  </w:style>
  <w:style w:type="paragraph" w:styleId="Header">
    <w:name w:val="header"/>
    <w:basedOn w:val="Normal"/>
    <w:link w:val="HeaderChar"/>
    <w:uiPriority w:val="99"/>
    <w:unhideWhenUsed/>
    <w:rsid w:val="006D09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09AC"/>
    <w:rPr>
      <w:lang w:val="en-GB"/>
    </w:rPr>
  </w:style>
  <w:style w:type="paragraph" w:styleId="Footer">
    <w:name w:val="footer"/>
    <w:basedOn w:val="Normal"/>
    <w:link w:val="FooterChar"/>
    <w:uiPriority w:val="99"/>
    <w:unhideWhenUsed/>
    <w:rsid w:val="006D09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09AC"/>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290424">
      <w:bodyDiv w:val="1"/>
      <w:marLeft w:val="0"/>
      <w:marRight w:val="0"/>
      <w:marTop w:val="0"/>
      <w:marBottom w:val="0"/>
      <w:divBdr>
        <w:top w:val="none" w:sz="0" w:space="0" w:color="auto"/>
        <w:left w:val="none" w:sz="0" w:space="0" w:color="auto"/>
        <w:bottom w:val="none" w:sz="0" w:space="0" w:color="auto"/>
        <w:right w:val="none" w:sz="0" w:space="0" w:color="auto"/>
      </w:divBdr>
    </w:div>
    <w:div w:id="443155851">
      <w:bodyDiv w:val="1"/>
      <w:marLeft w:val="0"/>
      <w:marRight w:val="0"/>
      <w:marTop w:val="0"/>
      <w:marBottom w:val="0"/>
      <w:divBdr>
        <w:top w:val="none" w:sz="0" w:space="0" w:color="auto"/>
        <w:left w:val="none" w:sz="0" w:space="0" w:color="auto"/>
        <w:bottom w:val="none" w:sz="0" w:space="0" w:color="auto"/>
        <w:right w:val="none" w:sz="0" w:space="0" w:color="auto"/>
      </w:divBdr>
    </w:div>
    <w:div w:id="589194597">
      <w:bodyDiv w:val="1"/>
      <w:marLeft w:val="0"/>
      <w:marRight w:val="0"/>
      <w:marTop w:val="0"/>
      <w:marBottom w:val="0"/>
      <w:divBdr>
        <w:top w:val="none" w:sz="0" w:space="0" w:color="auto"/>
        <w:left w:val="none" w:sz="0" w:space="0" w:color="auto"/>
        <w:bottom w:val="none" w:sz="0" w:space="0" w:color="auto"/>
        <w:right w:val="none" w:sz="0" w:space="0" w:color="auto"/>
      </w:divBdr>
    </w:div>
    <w:div w:id="826097641">
      <w:bodyDiv w:val="1"/>
      <w:marLeft w:val="0"/>
      <w:marRight w:val="0"/>
      <w:marTop w:val="0"/>
      <w:marBottom w:val="0"/>
      <w:divBdr>
        <w:top w:val="none" w:sz="0" w:space="0" w:color="auto"/>
        <w:left w:val="none" w:sz="0" w:space="0" w:color="auto"/>
        <w:bottom w:val="none" w:sz="0" w:space="0" w:color="auto"/>
        <w:right w:val="none" w:sz="0" w:space="0" w:color="auto"/>
      </w:divBdr>
    </w:div>
    <w:div w:id="885338091">
      <w:bodyDiv w:val="1"/>
      <w:marLeft w:val="0"/>
      <w:marRight w:val="0"/>
      <w:marTop w:val="0"/>
      <w:marBottom w:val="0"/>
      <w:divBdr>
        <w:top w:val="none" w:sz="0" w:space="0" w:color="auto"/>
        <w:left w:val="none" w:sz="0" w:space="0" w:color="auto"/>
        <w:bottom w:val="none" w:sz="0" w:space="0" w:color="auto"/>
        <w:right w:val="none" w:sz="0" w:space="0" w:color="auto"/>
      </w:divBdr>
    </w:div>
    <w:div w:id="1245912868">
      <w:bodyDiv w:val="1"/>
      <w:marLeft w:val="0"/>
      <w:marRight w:val="0"/>
      <w:marTop w:val="0"/>
      <w:marBottom w:val="0"/>
      <w:divBdr>
        <w:top w:val="none" w:sz="0" w:space="0" w:color="auto"/>
        <w:left w:val="none" w:sz="0" w:space="0" w:color="auto"/>
        <w:bottom w:val="none" w:sz="0" w:space="0" w:color="auto"/>
        <w:right w:val="none" w:sz="0" w:space="0" w:color="auto"/>
      </w:divBdr>
    </w:div>
    <w:div w:id="1528643611">
      <w:bodyDiv w:val="1"/>
      <w:marLeft w:val="0"/>
      <w:marRight w:val="0"/>
      <w:marTop w:val="0"/>
      <w:marBottom w:val="0"/>
      <w:divBdr>
        <w:top w:val="none" w:sz="0" w:space="0" w:color="auto"/>
        <w:left w:val="none" w:sz="0" w:space="0" w:color="auto"/>
        <w:bottom w:val="none" w:sz="0" w:space="0" w:color="auto"/>
        <w:right w:val="none" w:sz="0" w:space="0" w:color="auto"/>
      </w:divBdr>
      <w:divsChild>
        <w:div w:id="1540627167">
          <w:marLeft w:val="0"/>
          <w:marRight w:val="0"/>
          <w:marTop w:val="0"/>
          <w:marBottom w:val="0"/>
          <w:divBdr>
            <w:top w:val="single" w:sz="2" w:space="0" w:color="auto"/>
            <w:left w:val="single" w:sz="2" w:space="0" w:color="auto"/>
            <w:bottom w:val="single" w:sz="6" w:space="0" w:color="auto"/>
            <w:right w:val="single" w:sz="2" w:space="0" w:color="auto"/>
          </w:divBdr>
          <w:divsChild>
            <w:div w:id="1521233926">
              <w:marLeft w:val="0"/>
              <w:marRight w:val="0"/>
              <w:marTop w:val="100"/>
              <w:marBottom w:val="100"/>
              <w:divBdr>
                <w:top w:val="single" w:sz="2" w:space="0" w:color="D9D9E3"/>
                <w:left w:val="single" w:sz="2" w:space="0" w:color="D9D9E3"/>
                <w:bottom w:val="single" w:sz="2" w:space="0" w:color="D9D9E3"/>
                <w:right w:val="single" w:sz="2" w:space="0" w:color="D9D9E3"/>
              </w:divBdr>
              <w:divsChild>
                <w:div w:id="224993024">
                  <w:marLeft w:val="0"/>
                  <w:marRight w:val="0"/>
                  <w:marTop w:val="0"/>
                  <w:marBottom w:val="0"/>
                  <w:divBdr>
                    <w:top w:val="single" w:sz="2" w:space="0" w:color="D9D9E3"/>
                    <w:left w:val="single" w:sz="2" w:space="0" w:color="D9D9E3"/>
                    <w:bottom w:val="single" w:sz="2" w:space="0" w:color="D9D9E3"/>
                    <w:right w:val="single" w:sz="2" w:space="0" w:color="D9D9E3"/>
                  </w:divBdr>
                  <w:divsChild>
                    <w:div w:id="956721593">
                      <w:marLeft w:val="0"/>
                      <w:marRight w:val="0"/>
                      <w:marTop w:val="0"/>
                      <w:marBottom w:val="0"/>
                      <w:divBdr>
                        <w:top w:val="single" w:sz="2" w:space="0" w:color="D9D9E3"/>
                        <w:left w:val="single" w:sz="2" w:space="0" w:color="D9D9E3"/>
                        <w:bottom w:val="single" w:sz="2" w:space="0" w:color="D9D9E3"/>
                        <w:right w:val="single" w:sz="2" w:space="0" w:color="D9D9E3"/>
                      </w:divBdr>
                      <w:divsChild>
                        <w:div w:id="1003242055">
                          <w:marLeft w:val="0"/>
                          <w:marRight w:val="0"/>
                          <w:marTop w:val="0"/>
                          <w:marBottom w:val="0"/>
                          <w:divBdr>
                            <w:top w:val="single" w:sz="2" w:space="0" w:color="D9D9E3"/>
                            <w:left w:val="single" w:sz="2" w:space="0" w:color="D9D9E3"/>
                            <w:bottom w:val="single" w:sz="2" w:space="0" w:color="D9D9E3"/>
                            <w:right w:val="single" w:sz="2" w:space="0" w:color="D9D9E3"/>
                          </w:divBdr>
                          <w:divsChild>
                            <w:div w:id="1717197975">
                              <w:marLeft w:val="0"/>
                              <w:marRight w:val="0"/>
                              <w:marTop w:val="0"/>
                              <w:marBottom w:val="0"/>
                              <w:divBdr>
                                <w:top w:val="single" w:sz="2" w:space="0" w:color="D9D9E3"/>
                                <w:left w:val="single" w:sz="2" w:space="0" w:color="D9D9E3"/>
                                <w:bottom w:val="single" w:sz="2" w:space="0" w:color="D9D9E3"/>
                                <w:right w:val="single" w:sz="2" w:space="0" w:color="D9D9E3"/>
                              </w:divBdr>
                              <w:divsChild>
                                <w:div w:id="858276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7583440">
      <w:bodyDiv w:val="1"/>
      <w:marLeft w:val="0"/>
      <w:marRight w:val="0"/>
      <w:marTop w:val="0"/>
      <w:marBottom w:val="0"/>
      <w:divBdr>
        <w:top w:val="none" w:sz="0" w:space="0" w:color="auto"/>
        <w:left w:val="none" w:sz="0" w:space="0" w:color="auto"/>
        <w:bottom w:val="none" w:sz="0" w:space="0" w:color="auto"/>
        <w:right w:val="none" w:sz="0" w:space="0" w:color="auto"/>
      </w:divBdr>
    </w:div>
    <w:div w:id="1748454004">
      <w:bodyDiv w:val="1"/>
      <w:marLeft w:val="0"/>
      <w:marRight w:val="0"/>
      <w:marTop w:val="0"/>
      <w:marBottom w:val="0"/>
      <w:divBdr>
        <w:top w:val="none" w:sz="0" w:space="0" w:color="auto"/>
        <w:left w:val="none" w:sz="0" w:space="0" w:color="auto"/>
        <w:bottom w:val="none" w:sz="0" w:space="0" w:color="auto"/>
        <w:right w:val="none" w:sz="0" w:space="0" w:color="auto"/>
      </w:divBdr>
    </w:div>
    <w:div w:id="1814177661">
      <w:bodyDiv w:val="1"/>
      <w:marLeft w:val="0"/>
      <w:marRight w:val="0"/>
      <w:marTop w:val="0"/>
      <w:marBottom w:val="0"/>
      <w:divBdr>
        <w:top w:val="none" w:sz="0" w:space="0" w:color="auto"/>
        <w:left w:val="none" w:sz="0" w:space="0" w:color="auto"/>
        <w:bottom w:val="none" w:sz="0" w:space="0" w:color="auto"/>
        <w:right w:val="none" w:sz="0" w:space="0" w:color="auto"/>
      </w:divBdr>
      <w:divsChild>
        <w:div w:id="1387222953">
          <w:marLeft w:val="0"/>
          <w:marRight w:val="0"/>
          <w:marTop w:val="0"/>
          <w:marBottom w:val="0"/>
          <w:divBdr>
            <w:top w:val="single" w:sz="2" w:space="0" w:color="D9D9E3"/>
            <w:left w:val="single" w:sz="2" w:space="0" w:color="D9D9E3"/>
            <w:bottom w:val="single" w:sz="2" w:space="0" w:color="D9D9E3"/>
            <w:right w:val="single" w:sz="2" w:space="0" w:color="D9D9E3"/>
          </w:divBdr>
          <w:divsChild>
            <w:div w:id="315381491">
              <w:marLeft w:val="0"/>
              <w:marRight w:val="0"/>
              <w:marTop w:val="0"/>
              <w:marBottom w:val="0"/>
              <w:divBdr>
                <w:top w:val="single" w:sz="2" w:space="0" w:color="D9D9E3"/>
                <w:left w:val="single" w:sz="2" w:space="0" w:color="D9D9E3"/>
                <w:bottom w:val="single" w:sz="2" w:space="0" w:color="D9D9E3"/>
                <w:right w:val="single" w:sz="2" w:space="0" w:color="D9D9E3"/>
              </w:divBdr>
              <w:divsChild>
                <w:div w:id="1357972010">
                  <w:marLeft w:val="0"/>
                  <w:marRight w:val="0"/>
                  <w:marTop w:val="0"/>
                  <w:marBottom w:val="0"/>
                  <w:divBdr>
                    <w:top w:val="single" w:sz="2" w:space="0" w:color="D9D9E3"/>
                    <w:left w:val="single" w:sz="2" w:space="0" w:color="D9D9E3"/>
                    <w:bottom w:val="single" w:sz="2" w:space="0" w:color="D9D9E3"/>
                    <w:right w:val="single" w:sz="2" w:space="0" w:color="D9D9E3"/>
                  </w:divBdr>
                  <w:divsChild>
                    <w:div w:id="1206596440">
                      <w:marLeft w:val="0"/>
                      <w:marRight w:val="0"/>
                      <w:marTop w:val="0"/>
                      <w:marBottom w:val="0"/>
                      <w:divBdr>
                        <w:top w:val="single" w:sz="2" w:space="0" w:color="D9D9E3"/>
                        <w:left w:val="single" w:sz="2" w:space="0" w:color="D9D9E3"/>
                        <w:bottom w:val="single" w:sz="2" w:space="0" w:color="D9D9E3"/>
                        <w:right w:val="single" w:sz="2" w:space="0" w:color="D9D9E3"/>
                      </w:divBdr>
                      <w:divsChild>
                        <w:div w:id="2066753080">
                          <w:marLeft w:val="0"/>
                          <w:marRight w:val="0"/>
                          <w:marTop w:val="0"/>
                          <w:marBottom w:val="0"/>
                          <w:divBdr>
                            <w:top w:val="single" w:sz="2" w:space="0" w:color="auto"/>
                            <w:left w:val="single" w:sz="2" w:space="0" w:color="auto"/>
                            <w:bottom w:val="single" w:sz="6" w:space="0" w:color="auto"/>
                            <w:right w:val="single" w:sz="2" w:space="0" w:color="auto"/>
                          </w:divBdr>
                          <w:divsChild>
                            <w:div w:id="577519897">
                              <w:marLeft w:val="0"/>
                              <w:marRight w:val="0"/>
                              <w:marTop w:val="100"/>
                              <w:marBottom w:val="100"/>
                              <w:divBdr>
                                <w:top w:val="single" w:sz="2" w:space="0" w:color="D9D9E3"/>
                                <w:left w:val="single" w:sz="2" w:space="0" w:color="D9D9E3"/>
                                <w:bottom w:val="single" w:sz="2" w:space="0" w:color="D9D9E3"/>
                                <w:right w:val="single" w:sz="2" w:space="0" w:color="D9D9E3"/>
                              </w:divBdr>
                              <w:divsChild>
                                <w:div w:id="633952123">
                                  <w:marLeft w:val="0"/>
                                  <w:marRight w:val="0"/>
                                  <w:marTop w:val="0"/>
                                  <w:marBottom w:val="0"/>
                                  <w:divBdr>
                                    <w:top w:val="single" w:sz="2" w:space="0" w:color="D9D9E3"/>
                                    <w:left w:val="single" w:sz="2" w:space="0" w:color="D9D9E3"/>
                                    <w:bottom w:val="single" w:sz="2" w:space="0" w:color="D9D9E3"/>
                                    <w:right w:val="single" w:sz="2" w:space="0" w:color="D9D9E3"/>
                                  </w:divBdr>
                                  <w:divsChild>
                                    <w:div w:id="281887086">
                                      <w:marLeft w:val="0"/>
                                      <w:marRight w:val="0"/>
                                      <w:marTop w:val="0"/>
                                      <w:marBottom w:val="0"/>
                                      <w:divBdr>
                                        <w:top w:val="single" w:sz="2" w:space="0" w:color="D9D9E3"/>
                                        <w:left w:val="single" w:sz="2" w:space="0" w:color="D9D9E3"/>
                                        <w:bottom w:val="single" w:sz="2" w:space="0" w:color="D9D9E3"/>
                                        <w:right w:val="single" w:sz="2" w:space="0" w:color="D9D9E3"/>
                                      </w:divBdr>
                                      <w:divsChild>
                                        <w:div w:id="389614266">
                                          <w:marLeft w:val="0"/>
                                          <w:marRight w:val="0"/>
                                          <w:marTop w:val="0"/>
                                          <w:marBottom w:val="0"/>
                                          <w:divBdr>
                                            <w:top w:val="single" w:sz="2" w:space="0" w:color="D9D9E3"/>
                                            <w:left w:val="single" w:sz="2" w:space="0" w:color="D9D9E3"/>
                                            <w:bottom w:val="single" w:sz="2" w:space="0" w:color="D9D9E3"/>
                                            <w:right w:val="single" w:sz="2" w:space="0" w:color="D9D9E3"/>
                                          </w:divBdr>
                                          <w:divsChild>
                                            <w:div w:id="1990550135">
                                              <w:marLeft w:val="0"/>
                                              <w:marRight w:val="0"/>
                                              <w:marTop w:val="0"/>
                                              <w:marBottom w:val="0"/>
                                              <w:divBdr>
                                                <w:top w:val="single" w:sz="2" w:space="0" w:color="D9D9E3"/>
                                                <w:left w:val="single" w:sz="2" w:space="0" w:color="D9D9E3"/>
                                                <w:bottom w:val="single" w:sz="2" w:space="0" w:color="D9D9E3"/>
                                                <w:right w:val="single" w:sz="2" w:space="0" w:color="D9D9E3"/>
                                              </w:divBdr>
                                              <w:divsChild>
                                                <w:div w:id="359283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12132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47500-C845-4C30-AF11-2F72FA90F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4510</Words>
  <Characters>25713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 kin</dc:creator>
  <cp:keywords/>
  <dc:description/>
  <cp:lastModifiedBy>yashas kin</cp:lastModifiedBy>
  <cp:revision>2</cp:revision>
  <dcterms:created xsi:type="dcterms:W3CDTF">2023-09-20T17:01:00Z</dcterms:created>
  <dcterms:modified xsi:type="dcterms:W3CDTF">2023-09-20T17:01:00Z</dcterms:modified>
</cp:coreProperties>
</file>