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52"/>
        </w:rPr>
        <w:t>SALES &amp; PROFIT DASHBOARD</w:t>
      </w:r>
    </w:p>
    <w:p>
      <w:pPr>
        <w:jc w:val="center"/>
      </w:pPr>
      <w:r>
        <w:rPr>
          <w:color w:val="595959"/>
          <w:sz w:val="26"/>
        </w:rPr>
        <w:t>Microsoft Excel Data Analysis Project Documentation</w:t>
      </w:r>
    </w:p>
    <w:p>
      <w:pPr>
        <w:jc w:val="center"/>
      </w:pPr>
      <w:r>
        <w:rPr>
          <w:sz w:val="20"/>
        </w:rPr>
        <w:t>Prepared from the uploaded sales dataset</w:t>
      </w:r>
    </w:p>
    <w:p/>
    <w:p>
      <w:pPr>
        <w:pStyle w:val="Heading1"/>
      </w:pPr>
      <w:r>
        <w:t>1. Project Overview</w:t>
      </w:r>
    </w:p>
    <w:p>
      <w:r>
        <w:t>The purpose of this project is to transform raw sales transaction data into an interactive Excel dashboard that helps users understand sales performance, profitability, customer contribution, product category performance, monthly trends, and geographical performance. The project demonstrates a practical data-analysis workflow using Excel rather than coding.</w:t>
      </w:r>
    </w:p>
    <w:p>
      <w:pPr>
        <w:pStyle w:val="Heading1"/>
      </w:pPr>
      <w:r>
        <w:t>2. Dataset at a Glance</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3168"/>
            <w:vAlign w:val="center"/>
            <w:shd w:fill="1F4E78"/>
          </w:tcPr>
          <w:p>
            <w:pPr>
              <w:jc w:val="left"/>
            </w:pPr>
            <w:r/>
            <w:r>
              <w:rPr>
                <w:b/>
                <w:color w:val="FFFFFF"/>
                <w:sz w:val="18"/>
              </w:rPr>
              <w:t>Metric</w:t>
            </w:r>
          </w:p>
        </w:tc>
        <w:tc>
          <w:tcPr>
            <w:tcW w:type="dxa" w:w="6480"/>
            <w:vAlign w:val="center"/>
            <w:shd w:fill="1F4E78"/>
          </w:tcPr>
          <w:p>
            <w:pPr>
              <w:jc w:val="left"/>
            </w:pPr>
            <w:r/>
            <w:r>
              <w:rPr>
                <w:b/>
                <w:color w:val="FFFFFF"/>
                <w:sz w:val="18"/>
              </w:rPr>
              <w:t>Value</w:t>
            </w:r>
          </w:p>
        </w:tc>
      </w:tr>
      <w:tr>
        <w:tc>
          <w:tcPr>
            <w:tcW w:type="dxa" w:w="3168"/>
            <w:vAlign w:val="center"/>
          </w:tcPr>
          <w:p>
            <w:pPr>
              <w:jc w:val="left"/>
            </w:pPr>
            <w:r/>
            <w:r>
              <w:rPr>
                <w:b w:val="0"/>
                <w:color w:val="000000"/>
                <w:sz w:val="18"/>
              </w:rPr>
              <w:t>Raw records</w:t>
            </w:r>
          </w:p>
        </w:tc>
        <w:tc>
          <w:tcPr>
            <w:tcW w:type="dxa" w:w="6480"/>
            <w:vAlign w:val="center"/>
          </w:tcPr>
          <w:p>
            <w:pPr>
              <w:jc w:val="left"/>
            </w:pPr>
            <w:r/>
            <w:r>
              <w:rPr>
                <w:b w:val="0"/>
                <w:color w:val="000000"/>
                <w:sz w:val="18"/>
              </w:rPr>
              <w:t>8,314</w:t>
            </w:r>
          </w:p>
        </w:tc>
      </w:tr>
      <w:tr>
        <w:tc>
          <w:tcPr>
            <w:tcW w:type="dxa" w:w="3168"/>
            <w:vAlign w:val="center"/>
          </w:tcPr>
          <w:p>
            <w:pPr>
              <w:jc w:val="left"/>
            </w:pPr>
            <w:r/>
            <w:r>
              <w:rPr>
                <w:b w:val="0"/>
                <w:color w:val="000000"/>
                <w:sz w:val="18"/>
              </w:rPr>
              <w:t>Columns</w:t>
            </w:r>
          </w:p>
        </w:tc>
        <w:tc>
          <w:tcPr>
            <w:tcW w:type="dxa" w:w="6480"/>
            <w:vAlign w:val="center"/>
          </w:tcPr>
          <w:p>
            <w:pPr>
              <w:jc w:val="left"/>
            </w:pPr>
            <w:r/>
            <w:r>
              <w:rPr>
                <w:b w:val="0"/>
                <w:color w:val="000000"/>
                <w:sz w:val="18"/>
              </w:rPr>
              <w:t>11</w:t>
            </w:r>
          </w:p>
        </w:tc>
      </w:tr>
      <w:tr>
        <w:tc>
          <w:tcPr>
            <w:tcW w:type="dxa" w:w="3168"/>
            <w:vAlign w:val="center"/>
          </w:tcPr>
          <w:p>
            <w:pPr>
              <w:jc w:val="left"/>
            </w:pPr>
            <w:r/>
            <w:r>
              <w:rPr>
                <w:b w:val="0"/>
                <w:color w:val="000000"/>
                <w:sz w:val="18"/>
              </w:rPr>
              <w:t>Major categories</w:t>
            </w:r>
          </w:p>
        </w:tc>
        <w:tc>
          <w:tcPr>
            <w:tcW w:type="dxa" w:w="6480"/>
            <w:vAlign w:val="center"/>
          </w:tcPr>
          <w:p>
            <w:pPr>
              <w:jc w:val="left"/>
            </w:pPr>
            <w:r/>
            <w:r>
              <w:rPr>
                <w:b w:val="0"/>
                <w:color w:val="000000"/>
                <w:sz w:val="18"/>
              </w:rPr>
              <w:t>3: Furniture, Office Supplies, Technology</w:t>
            </w:r>
          </w:p>
        </w:tc>
      </w:tr>
      <w:tr>
        <w:tc>
          <w:tcPr>
            <w:tcW w:type="dxa" w:w="3168"/>
            <w:vAlign w:val="center"/>
          </w:tcPr>
          <w:p>
            <w:pPr>
              <w:jc w:val="left"/>
            </w:pPr>
            <w:r/>
            <w:r>
              <w:rPr>
                <w:b w:val="0"/>
                <w:color w:val="000000"/>
                <w:sz w:val="18"/>
              </w:rPr>
              <w:t>Sub-categories</w:t>
            </w:r>
          </w:p>
        </w:tc>
        <w:tc>
          <w:tcPr>
            <w:tcW w:type="dxa" w:w="6480"/>
            <w:vAlign w:val="center"/>
          </w:tcPr>
          <w:p>
            <w:pPr>
              <w:jc w:val="left"/>
            </w:pPr>
            <w:r/>
            <w:r>
              <w:rPr>
                <w:b w:val="0"/>
                <w:color w:val="000000"/>
                <w:sz w:val="18"/>
              </w:rPr>
              <w:t>17</w:t>
            </w:r>
          </w:p>
        </w:tc>
      </w:tr>
      <w:tr>
        <w:tc>
          <w:tcPr>
            <w:tcW w:type="dxa" w:w="3168"/>
            <w:vAlign w:val="center"/>
          </w:tcPr>
          <w:p>
            <w:pPr>
              <w:jc w:val="left"/>
            </w:pPr>
            <w:r/>
            <w:r>
              <w:rPr>
                <w:b w:val="0"/>
                <w:color w:val="000000"/>
                <w:sz w:val="18"/>
              </w:rPr>
              <w:t>States</w:t>
            </w:r>
          </w:p>
        </w:tc>
        <w:tc>
          <w:tcPr>
            <w:tcW w:type="dxa" w:w="6480"/>
            <w:vAlign w:val="center"/>
          </w:tcPr>
          <w:p>
            <w:pPr>
              <w:jc w:val="left"/>
            </w:pPr>
            <w:r/>
            <w:r>
              <w:rPr>
                <w:b w:val="0"/>
                <w:color w:val="000000"/>
                <w:sz w:val="18"/>
              </w:rPr>
              <w:t>49</w:t>
            </w:r>
          </w:p>
        </w:tc>
      </w:tr>
      <w:tr>
        <w:tc>
          <w:tcPr>
            <w:tcW w:type="dxa" w:w="3168"/>
            <w:vAlign w:val="center"/>
          </w:tcPr>
          <w:p>
            <w:pPr>
              <w:jc w:val="left"/>
            </w:pPr>
            <w:r/>
            <w:r>
              <w:rPr>
                <w:b w:val="0"/>
                <w:color w:val="000000"/>
                <w:sz w:val="18"/>
              </w:rPr>
              <w:t>Unique customers</w:t>
            </w:r>
          </w:p>
        </w:tc>
        <w:tc>
          <w:tcPr>
            <w:tcW w:type="dxa" w:w="6480"/>
            <w:vAlign w:val="center"/>
          </w:tcPr>
          <w:p>
            <w:pPr>
              <w:jc w:val="left"/>
            </w:pPr>
            <w:r/>
            <w:r>
              <w:rPr>
                <w:b w:val="0"/>
                <w:color w:val="000000"/>
                <w:sz w:val="18"/>
              </w:rPr>
              <w:t>789</w:t>
            </w:r>
          </w:p>
        </w:tc>
      </w:tr>
      <w:tr>
        <w:tc>
          <w:tcPr>
            <w:tcW w:type="dxa" w:w="3168"/>
            <w:vAlign w:val="center"/>
          </w:tcPr>
          <w:p>
            <w:pPr>
              <w:jc w:val="left"/>
            </w:pPr>
            <w:r/>
            <w:r>
              <w:rPr>
                <w:b w:val="0"/>
                <w:color w:val="000000"/>
                <w:sz w:val="18"/>
              </w:rPr>
              <w:t>Years covered</w:t>
            </w:r>
          </w:p>
        </w:tc>
        <w:tc>
          <w:tcPr>
            <w:tcW w:type="dxa" w:w="6480"/>
            <w:vAlign w:val="center"/>
          </w:tcPr>
          <w:p>
            <w:pPr>
              <w:jc w:val="left"/>
            </w:pPr>
            <w:r/>
            <w:r>
              <w:rPr>
                <w:b w:val="0"/>
                <w:color w:val="000000"/>
                <w:sz w:val="18"/>
              </w:rPr>
              <w:t>2021-2024</w:t>
            </w:r>
          </w:p>
        </w:tc>
      </w:tr>
      <w:tr>
        <w:tc>
          <w:tcPr>
            <w:tcW w:type="dxa" w:w="3168"/>
            <w:vAlign w:val="center"/>
          </w:tcPr>
          <w:p>
            <w:pPr>
              <w:jc w:val="left"/>
            </w:pPr>
            <w:r/>
            <w:r>
              <w:rPr>
                <w:b w:val="0"/>
                <w:color w:val="000000"/>
                <w:sz w:val="18"/>
              </w:rPr>
              <w:t>Months covered</w:t>
            </w:r>
          </w:p>
        </w:tc>
        <w:tc>
          <w:tcPr>
            <w:tcW w:type="dxa" w:w="6480"/>
            <w:vAlign w:val="center"/>
          </w:tcPr>
          <w:p>
            <w:pPr>
              <w:jc w:val="left"/>
            </w:pPr>
            <w:r/>
            <w:r>
              <w:rPr>
                <w:b w:val="0"/>
                <w:color w:val="000000"/>
                <w:sz w:val="18"/>
              </w:rPr>
              <w:t>January-December</w:t>
            </w:r>
          </w:p>
        </w:tc>
      </w:tr>
    </w:tbl>
    <w:p/>
    <w:p>
      <w:pPr>
        <w:pStyle w:val="Heading1"/>
      </w:pPr>
      <w:r>
        <w:t>3. Raw Data Structure</w:t>
      </w:r>
    </w:p>
    <w:p>
      <w:r>
        <w:t>The uploaded workbook contains one data sheet (Sheet1) with 8,314 transaction records and 11 columns. Each row represents a sales transaction.</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592"/>
            <w:vAlign w:val="center"/>
            <w:shd w:fill="1F4E78"/>
          </w:tcPr>
          <w:p>
            <w:pPr>
              <w:jc w:val="left"/>
            </w:pPr>
            <w:r/>
            <w:r>
              <w:rPr>
                <w:b/>
                <w:color w:val="FFFFFF"/>
                <w:sz w:val="18"/>
              </w:rPr>
              <w:t>Column</w:t>
            </w:r>
          </w:p>
        </w:tc>
        <w:tc>
          <w:tcPr>
            <w:tcW w:type="dxa" w:w="7056"/>
            <w:vAlign w:val="center"/>
            <w:shd w:fill="1F4E78"/>
          </w:tcPr>
          <w:p>
            <w:pPr>
              <w:jc w:val="left"/>
            </w:pPr>
            <w:r/>
            <w:r>
              <w:rPr>
                <w:b/>
                <w:color w:val="FFFFFF"/>
                <w:sz w:val="18"/>
              </w:rPr>
              <w:t>Business meaning</w:t>
            </w:r>
          </w:p>
        </w:tc>
      </w:tr>
      <w:tr>
        <w:tc>
          <w:tcPr>
            <w:tcW w:type="dxa" w:w="2592"/>
            <w:vAlign w:val="center"/>
          </w:tcPr>
          <w:p>
            <w:pPr>
              <w:jc w:val="left"/>
            </w:pPr>
            <w:r/>
            <w:r>
              <w:rPr>
                <w:b w:val="0"/>
                <w:color w:val="000000"/>
                <w:sz w:val="18"/>
              </w:rPr>
              <w:t>Order Date</w:t>
            </w:r>
          </w:p>
        </w:tc>
        <w:tc>
          <w:tcPr>
            <w:tcW w:type="dxa" w:w="7056"/>
            <w:vAlign w:val="center"/>
          </w:tcPr>
          <w:p>
            <w:pPr>
              <w:jc w:val="left"/>
            </w:pPr>
            <w:r/>
            <w:r>
              <w:rPr>
                <w:b w:val="0"/>
                <w:color w:val="000000"/>
                <w:sz w:val="18"/>
              </w:rPr>
              <w:t>Transaction date used for time-based analysis.</w:t>
            </w:r>
          </w:p>
        </w:tc>
      </w:tr>
      <w:tr>
        <w:tc>
          <w:tcPr>
            <w:tcW w:type="dxa" w:w="2592"/>
            <w:vAlign w:val="center"/>
          </w:tcPr>
          <w:p>
            <w:pPr>
              <w:jc w:val="left"/>
            </w:pPr>
            <w:r/>
            <w:r>
              <w:rPr>
                <w:b w:val="0"/>
                <w:color w:val="000000"/>
                <w:sz w:val="18"/>
              </w:rPr>
              <w:t>Customer Name</w:t>
            </w:r>
          </w:p>
        </w:tc>
        <w:tc>
          <w:tcPr>
            <w:tcW w:type="dxa" w:w="7056"/>
            <w:vAlign w:val="center"/>
          </w:tcPr>
          <w:p>
            <w:pPr>
              <w:jc w:val="left"/>
            </w:pPr>
            <w:r/>
            <w:r>
              <w:rPr>
                <w:b w:val="0"/>
                <w:color w:val="000000"/>
                <w:sz w:val="18"/>
              </w:rPr>
              <w:t>Customer associated with the transaction.</w:t>
            </w:r>
          </w:p>
        </w:tc>
      </w:tr>
      <w:tr>
        <w:tc>
          <w:tcPr>
            <w:tcW w:type="dxa" w:w="2592"/>
            <w:vAlign w:val="center"/>
          </w:tcPr>
          <w:p>
            <w:pPr>
              <w:jc w:val="left"/>
            </w:pPr>
            <w:r/>
            <w:r>
              <w:rPr>
                <w:b w:val="0"/>
                <w:color w:val="000000"/>
                <w:sz w:val="18"/>
              </w:rPr>
              <w:t>State</w:t>
            </w:r>
          </w:p>
        </w:tc>
        <w:tc>
          <w:tcPr>
            <w:tcW w:type="dxa" w:w="7056"/>
            <w:vAlign w:val="center"/>
          </w:tcPr>
          <w:p>
            <w:pPr>
              <w:jc w:val="left"/>
            </w:pPr>
            <w:r/>
            <w:r>
              <w:rPr>
                <w:b w:val="0"/>
                <w:color w:val="000000"/>
                <w:sz w:val="18"/>
              </w:rPr>
              <w:t>Geographical location used for state-wise sales analysis.</w:t>
            </w:r>
          </w:p>
        </w:tc>
      </w:tr>
      <w:tr>
        <w:tc>
          <w:tcPr>
            <w:tcW w:type="dxa" w:w="2592"/>
            <w:vAlign w:val="center"/>
          </w:tcPr>
          <w:p>
            <w:pPr>
              <w:jc w:val="left"/>
            </w:pPr>
            <w:r/>
            <w:r>
              <w:rPr>
                <w:b w:val="0"/>
                <w:color w:val="000000"/>
                <w:sz w:val="18"/>
              </w:rPr>
              <w:t>Category</w:t>
            </w:r>
          </w:p>
        </w:tc>
        <w:tc>
          <w:tcPr>
            <w:tcW w:type="dxa" w:w="7056"/>
            <w:vAlign w:val="center"/>
          </w:tcPr>
          <w:p>
            <w:pPr>
              <w:jc w:val="left"/>
            </w:pPr>
            <w:r/>
            <w:r>
              <w:rPr>
                <w:b w:val="0"/>
                <w:color w:val="000000"/>
                <w:sz w:val="18"/>
              </w:rPr>
              <w:t>Major product category: Furniture, Office Supplies, or Technology.</w:t>
            </w:r>
          </w:p>
        </w:tc>
      </w:tr>
      <w:tr>
        <w:tc>
          <w:tcPr>
            <w:tcW w:type="dxa" w:w="2592"/>
            <w:vAlign w:val="center"/>
          </w:tcPr>
          <w:p>
            <w:pPr>
              <w:jc w:val="left"/>
            </w:pPr>
            <w:r/>
            <w:r>
              <w:rPr>
                <w:b w:val="0"/>
                <w:color w:val="000000"/>
                <w:sz w:val="18"/>
              </w:rPr>
              <w:t>Sub-Category</w:t>
            </w:r>
          </w:p>
        </w:tc>
        <w:tc>
          <w:tcPr>
            <w:tcW w:type="dxa" w:w="7056"/>
            <w:vAlign w:val="center"/>
          </w:tcPr>
          <w:p>
            <w:pPr>
              <w:jc w:val="left"/>
            </w:pPr>
            <w:r/>
            <w:r>
              <w:rPr>
                <w:b w:val="0"/>
                <w:color w:val="000000"/>
                <w:sz w:val="18"/>
              </w:rPr>
              <w:t>More detailed product grouping within a category.</w:t>
            </w:r>
          </w:p>
        </w:tc>
      </w:tr>
      <w:tr>
        <w:tc>
          <w:tcPr>
            <w:tcW w:type="dxa" w:w="2592"/>
            <w:vAlign w:val="center"/>
          </w:tcPr>
          <w:p>
            <w:pPr>
              <w:jc w:val="left"/>
            </w:pPr>
            <w:r/>
            <w:r>
              <w:rPr>
                <w:b w:val="0"/>
                <w:color w:val="000000"/>
                <w:sz w:val="18"/>
              </w:rPr>
              <w:t>Product Name</w:t>
            </w:r>
          </w:p>
        </w:tc>
        <w:tc>
          <w:tcPr>
            <w:tcW w:type="dxa" w:w="7056"/>
            <w:vAlign w:val="center"/>
          </w:tcPr>
          <w:p>
            <w:pPr>
              <w:jc w:val="left"/>
            </w:pPr>
            <w:r/>
            <w:r>
              <w:rPr>
                <w:b w:val="0"/>
                <w:color w:val="000000"/>
                <w:sz w:val="18"/>
              </w:rPr>
              <w:t>Specific product sold.</w:t>
            </w:r>
          </w:p>
        </w:tc>
      </w:tr>
      <w:tr>
        <w:tc>
          <w:tcPr>
            <w:tcW w:type="dxa" w:w="2592"/>
            <w:vAlign w:val="center"/>
          </w:tcPr>
          <w:p>
            <w:pPr>
              <w:jc w:val="left"/>
            </w:pPr>
            <w:r/>
            <w:r>
              <w:rPr>
                <w:b w:val="0"/>
                <w:color w:val="000000"/>
                <w:sz w:val="18"/>
              </w:rPr>
              <w:t>Sales</w:t>
            </w:r>
          </w:p>
        </w:tc>
        <w:tc>
          <w:tcPr>
            <w:tcW w:type="dxa" w:w="7056"/>
            <w:vAlign w:val="center"/>
          </w:tcPr>
          <w:p>
            <w:pPr>
              <w:jc w:val="left"/>
            </w:pPr>
            <w:r/>
            <w:r>
              <w:rPr>
                <w:b w:val="0"/>
                <w:color w:val="000000"/>
                <w:sz w:val="18"/>
              </w:rPr>
              <w:t>Sales value used to calculate revenue/sales KPIs.</w:t>
            </w:r>
          </w:p>
        </w:tc>
      </w:tr>
      <w:tr>
        <w:tc>
          <w:tcPr>
            <w:tcW w:type="dxa" w:w="2592"/>
            <w:vAlign w:val="center"/>
          </w:tcPr>
          <w:p>
            <w:pPr>
              <w:jc w:val="left"/>
            </w:pPr>
            <w:r/>
            <w:r>
              <w:rPr>
                <w:b w:val="0"/>
                <w:color w:val="000000"/>
                <w:sz w:val="18"/>
              </w:rPr>
              <w:t>Quantity</w:t>
            </w:r>
          </w:p>
        </w:tc>
        <w:tc>
          <w:tcPr>
            <w:tcW w:type="dxa" w:w="7056"/>
            <w:vAlign w:val="center"/>
          </w:tcPr>
          <w:p>
            <w:pPr>
              <w:jc w:val="left"/>
            </w:pPr>
            <w:r/>
            <w:r>
              <w:rPr>
                <w:b w:val="0"/>
                <w:color w:val="000000"/>
                <w:sz w:val="18"/>
              </w:rPr>
              <w:t>Number of units associated with the transaction.</w:t>
            </w:r>
          </w:p>
        </w:tc>
      </w:tr>
      <w:tr>
        <w:tc>
          <w:tcPr>
            <w:tcW w:type="dxa" w:w="2592"/>
            <w:vAlign w:val="center"/>
          </w:tcPr>
          <w:p>
            <w:pPr>
              <w:jc w:val="left"/>
            </w:pPr>
            <w:r/>
            <w:r>
              <w:rPr>
                <w:b w:val="0"/>
                <w:color w:val="000000"/>
                <w:sz w:val="18"/>
              </w:rPr>
              <w:t>Profit</w:t>
            </w:r>
          </w:p>
        </w:tc>
        <w:tc>
          <w:tcPr>
            <w:tcW w:type="dxa" w:w="7056"/>
            <w:vAlign w:val="center"/>
          </w:tcPr>
          <w:p>
            <w:pPr>
              <w:jc w:val="left"/>
            </w:pPr>
            <w:r/>
            <w:r>
              <w:rPr>
                <w:b w:val="0"/>
                <w:color w:val="000000"/>
                <w:sz w:val="18"/>
              </w:rPr>
              <w:t>Profit generated by the transaction.</w:t>
            </w:r>
          </w:p>
        </w:tc>
      </w:tr>
      <w:tr>
        <w:tc>
          <w:tcPr>
            <w:tcW w:type="dxa" w:w="2592"/>
            <w:vAlign w:val="center"/>
          </w:tcPr>
          <w:p>
            <w:pPr>
              <w:jc w:val="left"/>
            </w:pPr>
            <w:r/>
            <w:r>
              <w:rPr>
                <w:b w:val="0"/>
                <w:color w:val="000000"/>
                <w:sz w:val="18"/>
              </w:rPr>
              <w:t>Month</w:t>
            </w:r>
          </w:p>
        </w:tc>
        <w:tc>
          <w:tcPr>
            <w:tcW w:type="dxa" w:w="7056"/>
            <w:vAlign w:val="center"/>
          </w:tcPr>
          <w:p>
            <w:pPr>
              <w:jc w:val="left"/>
            </w:pPr>
            <w:r/>
            <w:r>
              <w:rPr>
                <w:b w:val="0"/>
                <w:color w:val="000000"/>
                <w:sz w:val="18"/>
              </w:rPr>
              <w:t>Month label derived/provided for monthly analysis.</w:t>
            </w:r>
          </w:p>
        </w:tc>
      </w:tr>
      <w:tr>
        <w:tc>
          <w:tcPr>
            <w:tcW w:type="dxa" w:w="2592"/>
            <w:vAlign w:val="center"/>
          </w:tcPr>
          <w:p>
            <w:pPr>
              <w:jc w:val="left"/>
            </w:pPr>
            <w:r/>
            <w:r>
              <w:rPr>
                <w:b w:val="0"/>
                <w:color w:val="000000"/>
                <w:sz w:val="18"/>
              </w:rPr>
              <w:t>Year</w:t>
            </w:r>
          </w:p>
        </w:tc>
        <w:tc>
          <w:tcPr>
            <w:tcW w:type="dxa" w:w="7056"/>
            <w:vAlign w:val="center"/>
          </w:tcPr>
          <w:p>
            <w:pPr>
              <w:jc w:val="left"/>
            </w:pPr>
            <w:r/>
            <w:r>
              <w:rPr>
                <w:b w:val="0"/>
                <w:color w:val="000000"/>
                <w:sz w:val="18"/>
              </w:rPr>
              <w:t>Year value used for yearly trend analysis.</w:t>
            </w:r>
          </w:p>
        </w:tc>
      </w:tr>
    </w:tbl>
    <w:p/>
    <w:p>
      <w:pPr>
        <w:pStyle w:val="Heading1"/>
      </w:pPr>
      <w:r>
        <w:t>4. Step-by-Step Procedure</w:t>
      </w:r>
    </w:p>
    <w:p>
      <w:pPr>
        <w:pStyle w:val="Heading2"/>
      </w:pPr>
      <w:r>
        <w:t>Step 1 - Understand the raw dataset</w:t>
      </w:r>
    </w:p>
    <w:p>
      <w:r>
        <w:t>Begin with the transaction-level dataset and identify the dimensions (customer, state, category, sub-category, product, date) and measures (sales, quantity, profit). The first objective is to understand what each field can answer from a business perspective.</w:t>
      </w:r>
    </w:p>
    <w:p>
      <w:pPr>
        <w:pStyle w:val="Heading2"/>
      </w:pPr>
      <w:r>
        <w:t>Step 2 - Check data readiness</w:t>
      </w:r>
    </w:p>
    <w:p>
      <w:r>
        <w:t>Review dates, numerical fields, category labels, customer names, and blank values. Ensure Sales, Quantity, and Profit are numeric and Order Date/Year/Month are usable for time analysis. This prevents incorrect Pivot Table results.</w:t>
      </w:r>
    </w:p>
    <w:p>
      <w:pPr>
        <w:pStyle w:val="Heading2"/>
      </w:pPr>
      <w:r>
        <w:t>Step 3 - Prepare the data for analysis</w:t>
      </w:r>
    </w:p>
    <w:p>
      <w:r>
        <w:t>Keep one header row, consistent field names, and transaction-level rows. The dataset already contains Month and Year fields, which makes monthly and yearly grouping straightforward.</w:t>
      </w:r>
    </w:p>
    <w:p>
      <w:pPr>
        <w:pStyle w:val="Heading2"/>
      </w:pPr>
      <w:r>
        <w:t>Step 4 - Build the core KPIs</w:t>
      </w:r>
    </w:p>
    <w:p>
      <w:r>
        <w:t>Summarize Sales and Profit as totals. These become the headline KPIs on the dashboard.</w:t>
      </w:r>
    </w:p>
    <w:p>
      <w:pPr>
        <w:pStyle w:val="Heading2"/>
      </w:pPr>
      <w:r>
        <w:t>Step 5 - Build category analysis</w:t>
      </w:r>
    </w:p>
    <w:p>
      <w:r>
        <w:t>Use Category and Sub-Category with Sales and Profit to understand which product groups contribute to business performance. The three major categories are Furniture, Office Supplies, and Technology.</w:t>
      </w:r>
    </w:p>
    <w:p>
      <w:pPr>
        <w:pStyle w:val="Heading2"/>
      </w:pPr>
      <w:r>
        <w:t>Step 6 - Build year-wise profit analysis</w:t>
      </w:r>
    </w:p>
    <w:p>
      <w:r>
        <w:t>Place Year in the Pivot Table rows and Profit in Values using Sum. Convert the result into a column chart to compare profitability across years.</w:t>
      </w:r>
    </w:p>
    <w:p>
      <w:pPr>
        <w:pStyle w:val="Heading2"/>
      </w:pPr>
      <w:r>
        <w:t>Step 7 - Build customer analysis</w:t>
      </w:r>
    </w:p>
    <w:p>
      <w:r>
        <w:t>Use Customer Name as the customer dimension and Profit as the measure. Sort in descending order and focus on the highest-profit customers. Use a Top 5 view for the dashboard.</w:t>
      </w:r>
    </w:p>
    <w:p>
      <w:pPr>
        <w:pStyle w:val="Heading2"/>
      </w:pPr>
      <w:r>
        <w:t>Step 8 - Build customer-count analysis</w:t>
      </w:r>
    </w:p>
    <w:p>
      <w:r>
        <w:t>Count distinct customers by year to understand how the active customer base changes over time. This produces the year-wise customer-count view used in the dashboard.</w:t>
      </w:r>
    </w:p>
    <w:p>
      <w:pPr>
        <w:pStyle w:val="Heading2"/>
      </w:pPr>
      <w:r>
        <w:t>Step 9 - Build monthly sales analysis</w:t>
      </w:r>
    </w:p>
    <w:p>
      <w:r>
        <w:t>Use Month with Sales and keep the month order from January to December. A line chart is suitable because it shows movement and fluctuations over time.</w:t>
      </w:r>
    </w:p>
    <w:p>
      <w:pPr>
        <w:pStyle w:val="Heading2"/>
      </w:pPr>
      <w:r>
        <w:t>Step 10 - Build state-wise sales analysis</w:t>
      </w:r>
    </w:p>
    <w:p>
      <w:r>
        <w:t>Use State with Sales to compare geographical performance. For readability, a bar chart or a Top N state view is easier to interpret when many states are present.</w:t>
      </w:r>
    </w:p>
    <w:p>
      <w:pPr>
        <w:pStyle w:val="Heading2"/>
      </w:pPr>
      <w:r>
        <w:t>Step 11 - Add slicers</w:t>
      </w:r>
    </w:p>
    <w:p>
      <w:r>
        <w:t>Add slicers for Category, Month, and Year. Connect them to the relevant Pivot Tables/Pivot Charts so the dashboard can be filtered interactively.</w:t>
      </w:r>
    </w:p>
    <w:p>
      <w:pPr>
        <w:pStyle w:val="Heading2"/>
      </w:pPr>
      <w:r>
        <w:t>Step 12 - Design the dashboard</w:t>
      </w:r>
    </w:p>
    <w:p>
      <w:r>
        <w:t>Arrange KPI cards at the top, then supporting charts underneath, with slicers placed in an easy-to-access area. Use consistent fonts, spacing, and a restrained color theme for a professional appearance.</w:t>
      </w:r>
    </w:p>
    <w:p>
      <w:pPr>
        <w:pStyle w:val="Heading2"/>
      </w:pPr>
      <w:r>
        <w:t>Step 13 - Validate the numbers</w:t>
      </w:r>
    </w:p>
    <w:p>
      <w:r>
        <w:t>Cross-check the dashboard KPI totals against the raw data totals and ensure filters return sensible results. Check that there are no obvious broken formulas or inconsistent chart labels.</w:t>
      </w:r>
    </w:p>
    <w:p>
      <w:pPr>
        <w:pStyle w:val="Heading2"/>
      </w:pPr>
      <w:r>
        <w:t>Step 14 - Convert analysis into insights</w:t>
      </w:r>
    </w:p>
    <w:p>
      <w:r>
        <w:t>Move from “what the chart says” to “what it means.” For each visual, identify the leading category/customer/month/market, the major variation, and any area that deserves further investigation.</w:t>
      </w:r>
    </w:p>
    <w:p>
      <w:pPr>
        <w:pStyle w:val="Heading1"/>
      </w:pPr>
      <w:r>
        <w:t>5. Analysis Map: Raw Data to Dashboard</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12"/>
            <w:vAlign w:val="center"/>
            <w:shd w:fill="1F4E78"/>
          </w:tcPr>
          <w:p>
            <w:pPr>
              <w:jc w:val="left"/>
            </w:pPr>
            <w:r/>
            <w:r>
              <w:rPr>
                <w:b/>
                <w:color w:val="FFFFFF"/>
                <w:sz w:val="18"/>
              </w:rPr>
              <w:t>Business question</w:t>
            </w:r>
          </w:p>
        </w:tc>
        <w:tc>
          <w:tcPr>
            <w:tcW w:type="dxa" w:w="3312"/>
            <w:vAlign w:val="center"/>
            <w:shd w:fill="1F4E78"/>
          </w:tcPr>
          <w:p>
            <w:pPr>
              <w:jc w:val="left"/>
            </w:pPr>
            <w:r/>
            <w:r>
              <w:rPr>
                <w:b/>
                <w:color w:val="FFFFFF"/>
                <w:sz w:val="18"/>
              </w:rPr>
              <w:t>Fields used</w:t>
            </w:r>
          </w:p>
        </w:tc>
        <w:tc>
          <w:tcPr>
            <w:tcW w:type="dxa" w:w="3024"/>
            <w:vAlign w:val="center"/>
            <w:shd w:fill="1F4E78"/>
          </w:tcPr>
          <w:p>
            <w:pPr>
              <w:jc w:val="left"/>
            </w:pPr>
            <w:r/>
            <w:r>
              <w:rPr>
                <w:b/>
                <w:color w:val="FFFFFF"/>
                <w:sz w:val="18"/>
              </w:rPr>
              <w:t>Excel output</w:t>
            </w:r>
          </w:p>
        </w:tc>
      </w:tr>
      <w:tr>
        <w:tc>
          <w:tcPr>
            <w:tcW w:type="dxa" w:w="3312"/>
            <w:vAlign w:val="center"/>
          </w:tcPr>
          <w:p>
            <w:pPr>
              <w:jc w:val="left"/>
            </w:pPr>
            <w:r/>
            <w:r>
              <w:rPr>
                <w:b w:val="0"/>
                <w:color w:val="000000"/>
                <w:sz w:val="18"/>
              </w:rPr>
              <w:t>What is the overall sales performance?</w:t>
            </w:r>
          </w:p>
        </w:tc>
        <w:tc>
          <w:tcPr>
            <w:tcW w:type="dxa" w:w="3312"/>
            <w:vAlign w:val="center"/>
          </w:tcPr>
          <w:p>
            <w:pPr>
              <w:jc w:val="left"/>
            </w:pPr>
            <w:r/>
            <w:r>
              <w:rPr>
                <w:b w:val="0"/>
                <w:color w:val="000000"/>
                <w:sz w:val="18"/>
              </w:rPr>
              <w:t>Sales</w:t>
            </w:r>
          </w:p>
        </w:tc>
        <w:tc>
          <w:tcPr>
            <w:tcW w:type="dxa" w:w="3024"/>
            <w:vAlign w:val="center"/>
          </w:tcPr>
          <w:p>
            <w:pPr>
              <w:jc w:val="left"/>
            </w:pPr>
            <w:r/>
            <w:r>
              <w:rPr>
                <w:b w:val="0"/>
                <w:color w:val="000000"/>
                <w:sz w:val="18"/>
              </w:rPr>
              <w:t>Total Sales KPI</w:t>
            </w:r>
          </w:p>
        </w:tc>
      </w:tr>
      <w:tr>
        <w:tc>
          <w:tcPr>
            <w:tcW w:type="dxa" w:w="3312"/>
            <w:vAlign w:val="center"/>
          </w:tcPr>
          <w:p>
            <w:pPr>
              <w:jc w:val="left"/>
            </w:pPr>
            <w:r/>
            <w:r>
              <w:rPr>
                <w:b w:val="0"/>
                <w:color w:val="000000"/>
                <w:sz w:val="18"/>
              </w:rPr>
              <w:t>What is the overall profit performance?</w:t>
            </w:r>
          </w:p>
        </w:tc>
        <w:tc>
          <w:tcPr>
            <w:tcW w:type="dxa" w:w="3312"/>
            <w:vAlign w:val="center"/>
          </w:tcPr>
          <w:p>
            <w:pPr>
              <w:jc w:val="left"/>
            </w:pPr>
            <w:r/>
            <w:r>
              <w:rPr>
                <w:b w:val="0"/>
                <w:color w:val="000000"/>
                <w:sz w:val="18"/>
              </w:rPr>
              <w:t>Profit</w:t>
            </w:r>
          </w:p>
        </w:tc>
        <w:tc>
          <w:tcPr>
            <w:tcW w:type="dxa" w:w="3024"/>
            <w:vAlign w:val="center"/>
          </w:tcPr>
          <w:p>
            <w:pPr>
              <w:jc w:val="left"/>
            </w:pPr>
            <w:r/>
            <w:r>
              <w:rPr>
                <w:b w:val="0"/>
                <w:color w:val="000000"/>
                <w:sz w:val="18"/>
              </w:rPr>
              <w:t>Total Profit KPI</w:t>
            </w:r>
          </w:p>
        </w:tc>
      </w:tr>
      <w:tr>
        <w:tc>
          <w:tcPr>
            <w:tcW w:type="dxa" w:w="3312"/>
            <w:vAlign w:val="center"/>
          </w:tcPr>
          <w:p>
            <w:pPr>
              <w:jc w:val="left"/>
            </w:pPr>
            <w:r/>
            <w:r>
              <w:rPr>
                <w:b w:val="0"/>
                <w:color w:val="000000"/>
                <w:sz w:val="18"/>
              </w:rPr>
              <w:t>Which categories contribute to sales?</w:t>
            </w:r>
          </w:p>
        </w:tc>
        <w:tc>
          <w:tcPr>
            <w:tcW w:type="dxa" w:w="3312"/>
            <w:vAlign w:val="center"/>
          </w:tcPr>
          <w:p>
            <w:pPr>
              <w:jc w:val="left"/>
            </w:pPr>
            <w:r/>
            <w:r>
              <w:rPr>
                <w:b w:val="0"/>
                <w:color w:val="000000"/>
                <w:sz w:val="18"/>
              </w:rPr>
              <w:t>Category, Sales</w:t>
            </w:r>
          </w:p>
        </w:tc>
        <w:tc>
          <w:tcPr>
            <w:tcW w:type="dxa" w:w="3024"/>
            <w:vAlign w:val="center"/>
          </w:tcPr>
          <w:p>
            <w:pPr>
              <w:jc w:val="left"/>
            </w:pPr>
            <w:r/>
            <w:r>
              <w:rPr>
                <w:b w:val="0"/>
                <w:color w:val="000000"/>
                <w:sz w:val="18"/>
              </w:rPr>
              <w:t>Sales by Category chart</w:t>
            </w:r>
          </w:p>
        </w:tc>
      </w:tr>
      <w:tr>
        <w:tc>
          <w:tcPr>
            <w:tcW w:type="dxa" w:w="3312"/>
            <w:vAlign w:val="center"/>
          </w:tcPr>
          <w:p>
            <w:pPr>
              <w:jc w:val="left"/>
            </w:pPr>
            <w:r/>
            <w:r>
              <w:rPr>
                <w:b w:val="0"/>
                <w:color w:val="000000"/>
                <w:sz w:val="18"/>
              </w:rPr>
              <w:t>How does profit change by year?</w:t>
            </w:r>
          </w:p>
        </w:tc>
        <w:tc>
          <w:tcPr>
            <w:tcW w:type="dxa" w:w="3312"/>
            <w:vAlign w:val="center"/>
          </w:tcPr>
          <w:p>
            <w:pPr>
              <w:jc w:val="left"/>
            </w:pPr>
            <w:r/>
            <w:r>
              <w:rPr>
                <w:b w:val="0"/>
                <w:color w:val="000000"/>
                <w:sz w:val="18"/>
              </w:rPr>
              <w:t>Year, Profit</w:t>
            </w:r>
          </w:p>
        </w:tc>
        <w:tc>
          <w:tcPr>
            <w:tcW w:type="dxa" w:w="3024"/>
            <w:vAlign w:val="center"/>
          </w:tcPr>
          <w:p>
            <w:pPr>
              <w:jc w:val="left"/>
            </w:pPr>
            <w:r/>
            <w:r>
              <w:rPr>
                <w:b w:val="0"/>
                <w:color w:val="000000"/>
                <w:sz w:val="18"/>
              </w:rPr>
              <w:t>Profit by Year chart</w:t>
            </w:r>
          </w:p>
        </w:tc>
      </w:tr>
      <w:tr>
        <w:tc>
          <w:tcPr>
            <w:tcW w:type="dxa" w:w="3312"/>
            <w:vAlign w:val="center"/>
          </w:tcPr>
          <w:p>
            <w:pPr>
              <w:jc w:val="left"/>
            </w:pPr>
            <w:r/>
            <w:r>
              <w:rPr>
                <w:b w:val="0"/>
                <w:color w:val="000000"/>
                <w:sz w:val="18"/>
              </w:rPr>
              <w:t>How many customers are active by year?</w:t>
            </w:r>
          </w:p>
        </w:tc>
        <w:tc>
          <w:tcPr>
            <w:tcW w:type="dxa" w:w="3312"/>
            <w:vAlign w:val="center"/>
          </w:tcPr>
          <w:p>
            <w:pPr>
              <w:jc w:val="left"/>
            </w:pPr>
            <w:r/>
            <w:r>
              <w:rPr>
                <w:b w:val="0"/>
                <w:color w:val="000000"/>
                <w:sz w:val="18"/>
              </w:rPr>
              <w:t>Year, Customer Name</w:t>
            </w:r>
          </w:p>
        </w:tc>
        <w:tc>
          <w:tcPr>
            <w:tcW w:type="dxa" w:w="3024"/>
            <w:vAlign w:val="center"/>
          </w:tcPr>
          <w:p>
            <w:pPr>
              <w:jc w:val="left"/>
            </w:pPr>
            <w:r/>
            <w:r>
              <w:rPr>
                <w:b w:val="0"/>
                <w:color w:val="000000"/>
                <w:sz w:val="18"/>
              </w:rPr>
              <w:t>Customer Count chart</w:t>
            </w:r>
          </w:p>
        </w:tc>
      </w:tr>
      <w:tr>
        <w:tc>
          <w:tcPr>
            <w:tcW w:type="dxa" w:w="3312"/>
            <w:vAlign w:val="center"/>
          </w:tcPr>
          <w:p>
            <w:pPr>
              <w:jc w:val="left"/>
            </w:pPr>
            <w:r/>
            <w:r>
              <w:rPr>
                <w:b w:val="0"/>
                <w:color w:val="000000"/>
                <w:sz w:val="18"/>
              </w:rPr>
              <w:t>Which states contribute most to sales?</w:t>
            </w:r>
          </w:p>
        </w:tc>
        <w:tc>
          <w:tcPr>
            <w:tcW w:type="dxa" w:w="3312"/>
            <w:vAlign w:val="center"/>
          </w:tcPr>
          <w:p>
            <w:pPr>
              <w:jc w:val="left"/>
            </w:pPr>
            <w:r/>
            <w:r>
              <w:rPr>
                <w:b w:val="0"/>
                <w:color w:val="000000"/>
                <w:sz w:val="18"/>
              </w:rPr>
              <w:t>State, Sales</w:t>
            </w:r>
          </w:p>
        </w:tc>
        <w:tc>
          <w:tcPr>
            <w:tcW w:type="dxa" w:w="3024"/>
            <w:vAlign w:val="center"/>
          </w:tcPr>
          <w:p>
            <w:pPr>
              <w:jc w:val="left"/>
            </w:pPr>
            <w:r/>
            <w:r>
              <w:rPr>
                <w:b w:val="0"/>
                <w:color w:val="000000"/>
                <w:sz w:val="18"/>
              </w:rPr>
              <w:t>Sales by State chart</w:t>
            </w:r>
          </w:p>
        </w:tc>
      </w:tr>
      <w:tr>
        <w:tc>
          <w:tcPr>
            <w:tcW w:type="dxa" w:w="3312"/>
            <w:vAlign w:val="center"/>
          </w:tcPr>
          <w:p>
            <w:pPr>
              <w:jc w:val="left"/>
            </w:pPr>
            <w:r/>
            <w:r>
              <w:rPr>
                <w:b w:val="0"/>
                <w:color w:val="000000"/>
                <w:sz w:val="18"/>
              </w:rPr>
              <w:t>Who are the top customers by profit?</w:t>
            </w:r>
          </w:p>
        </w:tc>
        <w:tc>
          <w:tcPr>
            <w:tcW w:type="dxa" w:w="3312"/>
            <w:vAlign w:val="center"/>
          </w:tcPr>
          <w:p>
            <w:pPr>
              <w:jc w:val="left"/>
            </w:pPr>
            <w:r/>
            <w:r>
              <w:rPr>
                <w:b w:val="0"/>
                <w:color w:val="000000"/>
                <w:sz w:val="18"/>
              </w:rPr>
              <w:t>Customer Name, Profit</w:t>
            </w:r>
          </w:p>
        </w:tc>
        <w:tc>
          <w:tcPr>
            <w:tcW w:type="dxa" w:w="3024"/>
            <w:vAlign w:val="center"/>
          </w:tcPr>
          <w:p>
            <w:pPr>
              <w:jc w:val="left"/>
            </w:pPr>
            <w:r/>
            <w:r>
              <w:rPr>
                <w:b w:val="0"/>
                <w:color w:val="000000"/>
                <w:sz w:val="18"/>
              </w:rPr>
              <w:t>Top 5 Customer Profit chart</w:t>
            </w:r>
          </w:p>
        </w:tc>
      </w:tr>
      <w:tr>
        <w:tc>
          <w:tcPr>
            <w:tcW w:type="dxa" w:w="3312"/>
            <w:vAlign w:val="center"/>
          </w:tcPr>
          <w:p>
            <w:pPr>
              <w:jc w:val="left"/>
            </w:pPr>
            <w:r/>
            <w:r>
              <w:rPr>
                <w:b w:val="0"/>
                <w:color w:val="000000"/>
                <w:sz w:val="18"/>
              </w:rPr>
              <w:t>How do sales vary by month?</w:t>
            </w:r>
          </w:p>
        </w:tc>
        <w:tc>
          <w:tcPr>
            <w:tcW w:type="dxa" w:w="3312"/>
            <w:vAlign w:val="center"/>
          </w:tcPr>
          <w:p>
            <w:pPr>
              <w:jc w:val="left"/>
            </w:pPr>
            <w:r/>
            <w:r>
              <w:rPr>
                <w:b w:val="0"/>
                <w:color w:val="000000"/>
                <w:sz w:val="18"/>
              </w:rPr>
              <w:t>Month, Sales</w:t>
            </w:r>
          </w:p>
        </w:tc>
        <w:tc>
          <w:tcPr>
            <w:tcW w:type="dxa" w:w="3024"/>
            <w:vAlign w:val="center"/>
          </w:tcPr>
          <w:p>
            <w:pPr>
              <w:jc w:val="left"/>
            </w:pPr>
            <w:r/>
            <w:r>
              <w:rPr>
                <w:b w:val="0"/>
                <w:color w:val="000000"/>
                <w:sz w:val="18"/>
              </w:rPr>
              <w:t>Sales by Month chart</w:t>
            </w:r>
          </w:p>
        </w:tc>
      </w:tr>
      <w:tr>
        <w:tc>
          <w:tcPr>
            <w:tcW w:type="dxa" w:w="3312"/>
            <w:vAlign w:val="center"/>
          </w:tcPr>
          <w:p>
            <w:pPr>
              <w:jc w:val="left"/>
            </w:pPr>
            <w:r/>
            <w:r>
              <w:rPr>
                <w:b w:val="0"/>
                <w:color w:val="000000"/>
                <w:sz w:val="18"/>
              </w:rPr>
              <w:t>Can the dashboard be explored interactively?</w:t>
            </w:r>
          </w:p>
        </w:tc>
        <w:tc>
          <w:tcPr>
            <w:tcW w:type="dxa" w:w="3312"/>
            <w:vAlign w:val="center"/>
          </w:tcPr>
          <w:p>
            <w:pPr>
              <w:jc w:val="left"/>
            </w:pPr>
            <w:r/>
            <w:r>
              <w:rPr>
                <w:b w:val="0"/>
                <w:color w:val="000000"/>
                <w:sz w:val="18"/>
              </w:rPr>
              <w:t>Category, Month, Year</w:t>
            </w:r>
          </w:p>
        </w:tc>
        <w:tc>
          <w:tcPr>
            <w:tcW w:type="dxa" w:w="3024"/>
            <w:vAlign w:val="center"/>
          </w:tcPr>
          <w:p>
            <w:pPr>
              <w:jc w:val="left"/>
            </w:pPr>
            <w:r/>
            <w:r>
              <w:rPr>
                <w:b w:val="0"/>
                <w:color w:val="000000"/>
                <w:sz w:val="18"/>
              </w:rPr>
              <w:t>Slicers</w:t>
            </w:r>
          </w:p>
        </w:tc>
      </w:tr>
    </w:tbl>
    <w:p/>
    <w:p>
      <w:r>
        <w:br w:type="page"/>
      </w:r>
    </w:p>
    <w:p>
      <w:pPr>
        <w:pStyle w:val="Heading1"/>
      </w:pPr>
      <w:r>
        <w:t>6. Verified Key Results from the Uploaded Dataset</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3600"/>
            <w:vAlign w:val="center"/>
            <w:shd w:fill="1F4E78"/>
          </w:tcPr>
          <w:p>
            <w:pPr>
              <w:jc w:val="left"/>
            </w:pPr>
            <w:r/>
            <w:r>
              <w:rPr>
                <w:b/>
                <w:color w:val="FFFFFF"/>
                <w:sz w:val="18"/>
              </w:rPr>
              <w:t>KPI</w:t>
            </w:r>
          </w:p>
        </w:tc>
        <w:tc>
          <w:tcPr>
            <w:tcW w:type="dxa" w:w="6048"/>
            <w:vAlign w:val="center"/>
            <w:shd w:fill="1F4E78"/>
          </w:tcPr>
          <w:p>
            <w:pPr>
              <w:jc w:val="left"/>
            </w:pPr>
            <w:r/>
            <w:r>
              <w:rPr>
                <w:b/>
                <w:color w:val="FFFFFF"/>
                <w:sz w:val="18"/>
              </w:rPr>
              <w:t>Result</w:t>
            </w:r>
          </w:p>
        </w:tc>
      </w:tr>
      <w:tr>
        <w:tc>
          <w:tcPr>
            <w:tcW w:type="dxa" w:w="3600"/>
            <w:vAlign w:val="center"/>
          </w:tcPr>
          <w:p>
            <w:pPr>
              <w:jc w:val="left"/>
            </w:pPr>
            <w:r/>
            <w:r>
              <w:rPr>
                <w:b w:val="0"/>
                <w:color w:val="000000"/>
                <w:sz w:val="18"/>
              </w:rPr>
              <w:t>Total Sales</w:t>
            </w:r>
          </w:p>
        </w:tc>
        <w:tc>
          <w:tcPr>
            <w:tcW w:type="dxa" w:w="6048"/>
            <w:vAlign w:val="center"/>
          </w:tcPr>
          <w:p>
            <w:pPr>
              <w:jc w:val="left"/>
            </w:pPr>
            <w:r/>
            <w:r>
              <w:rPr>
                <w:b w:val="0"/>
                <w:color w:val="000000"/>
                <w:sz w:val="18"/>
              </w:rPr>
              <w:t>$1,928,887.86</w:t>
            </w:r>
          </w:p>
        </w:tc>
      </w:tr>
      <w:tr>
        <w:tc>
          <w:tcPr>
            <w:tcW w:type="dxa" w:w="3600"/>
            <w:vAlign w:val="center"/>
          </w:tcPr>
          <w:p>
            <w:pPr>
              <w:jc w:val="left"/>
            </w:pPr>
            <w:r/>
            <w:r>
              <w:rPr>
                <w:b w:val="0"/>
                <w:color w:val="000000"/>
                <w:sz w:val="18"/>
              </w:rPr>
              <w:t>Total Profit</w:t>
            </w:r>
          </w:p>
        </w:tc>
        <w:tc>
          <w:tcPr>
            <w:tcW w:type="dxa" w:w="6048"/>
            <w:vAlign w:val="center"/>
          </w:tcPr>
          <w:p>
            <w:pPr>
              <w:jc w:val="left"/>
            </w:pPr>
            <w:r/>
            <w:r>
              <w:rPr>
                <w:b w:val="0"/>
                <w:color w:val="000000"/>
                <w:sz w:val="18"/>
              </w:rPr>
              <w:t>$247,961.07</w:t>
            </w:r>
          </w:p>
        </w:tc>
      </w:tr>
      <w:tr>
        <w:tc>
          <w:tcPr>
            <w:tcW w:type="dxa" w:w="3600"/>
            <w:vAlign w:val="center"/>
          </w:tcPr>
          <w:p>
            <w:pPr>
              <w:jc w:val="left"/>
            </w:pPr>
            <w:r/>
            <w:r>
              <w:rPr>
                <w:b w:val="0"/>
                <w:color w:val="000000"/>
                <w:sz w:val="18"/>
              </w:rPr>
              <w:t>Overall Profit Margin</w:t>
            </w:r>
          </w:p>
        </w:tc>
        <w:tc>
          <w:tcPr>
            <w:tcW w:type="dxa" w:w="6048"/>
            <w:vAlign w:val="center"/>
          </w:tcPr>
          <w:p>
            <w:pPr>
              <w:jc w:val="left"/>
            </w:pPr>
            <w:r/>
            <w:r>
              <w:rPr>
                <w:b w:val="0"/>
                <w:color w:val="000000"/>
                <w:sz w:val="18"/>
              </w:rPr>
              <w:t>12.9%</w:t>
            </w:r>
          </w:p>
        </w:tc>
      </w:tr>
      <w:tr>
        <w:tc>
          <w:tcPr>
            <w:tcW w:type="dxa" w:w="3600"/>
            <w:vAlign w:val="center"/>
          </w:tcPr>
          <w:p>
            <w:pPr>
              <w:jc w:val="left"/>
            </w:pPr>
            <w:r/>
            <w:r>
              <w:rPr>
                <w:b w:val="0"/>
                <w:color w:val="000000"/>
                <w:sz w:val="18"/>
              </w:rPr>
              <w:t>Total Quantity</w:t>
            </w:r>
          </w:p>
        </w:tc>
        <w:tc>
          <w:tcPr>
            <w:tcW w:type="dxa" w:w="6048"/>
            <w:vAlign w:val="center"/>
          </w:tcPr>
          <w:p>
            <w:pPr>
              <w:jc w:val="left"/>
            </w:pPr>
            <w:r/>
            <w:r>
              <w:rPr>
                <w:b w:val="0"/>
                <w:color w:val="000000"/>
                <w:sz w:val="18"/>
              </w:rPr>
              <w:t>31,508</w:t>
            </w:r>
          </w:p>
        </w:tc>
      </w:tr>
      <w:tr>
        <w:tc>
          <w:tcPr>
            <w:tcW w:type="dxa" w:w="3600"/>
            <w:vAlign w:val="center"/>
          </w:tcPr>
          <w:p>
            <w:pPr>
              <w:jc w:val="left"/>
            </w:pPr>
            <w:r/>
            <w:r>
              <w:rPr>
                <w:b w:val="0"/>
                <w:color w:val="000000"/>
                <w:sz w:val="18"/>
              </w:rPr>
              <w:t>Unique Customers</w:t>
            </w:r>
          </w:p>
        </w:tc>
        <w:tc>
          <w:tcPr>
            <w:tcW w:type="dxa" w:w="6048"/>
            <w:vAlign w:val="center"/>
          </w:tcPr>
          <w:p>
            <w:pPr>
              <w:jc w:val="left"/>
            </w:pPr>
            <w:r/>
            <w:r>
              <w:rPr>
                <w:b w:val="0"/>
                <w:color w:val="000000"/>
                <w:sz w:val="18"/>
              </w:rPr>
              <w:t>789</w:t>
            </w:r>
          </w:p>
        </w:tc>
      </w:tr>
      <w:tr>
        <w:tc>
          <w:tcPr>
            <w:tcW w:type="dxa" w:w="3600"/>
            <w:vAlign w:val="center"/>
          </w:tcPr>
          <w:p>
            <w:pPr>
              <w:jc w:val="left"/>
            </w:pPr>
            <w:r/>
            <w:r>
              <w:rPr>
                <w:b w:val="0"/>
                <w:color w:val="000000"/>
                <w:sz w:val="18"/>
              </w:rPr>
              <w:t>States Represented</w:t>
            </w:r>
          </w:p>
        </w:tc>
        <w:tc>
          <w:tcPr>
            <w:tcW w:type="dxa" w:w="6048"/>
            <w:vAlign w:val="center"/>
          </w:tcPr>
          <w:p>
            <w:pPr>
              <w:jc w:val="left"/>
            </w:pPr>
            <w:r/>
            <w:r>
              <w:rPr>
                <w:b w:val="0"/>
                <w:color w:val="000000"/>
                <w:sz w:val="18"/>
              </w:rPr>
              <w:t>49</w:t>
            </w:r>
          </w:p>
        </w:tc>
      </w:tr>
      <w:tr>
        <w:tc>
          <w:tcPr>
            <w:tcW w:type="dxa" w:w="3600"/>
            <w:vAlign w:val="center"/>
          </w:tcPr>
          <w:p>
            <w:pPr>
              <w:jc w:val="left"/>
            </w:pPr>
            <w:r/>
            <w:r>
              <w:rPr>
                <w:b w:val="0"/>
                <w:color w:val="000000"/>
                <w:sz w:val="18"/>
              </w:rPr>
              <w:t>Sub-Categories</w:t>
            </w:r>
          </w:p>
        </w:tc>
        <w:tc>
          <w:tcPr>
            <w:tcW w:type="dxa" w:w="6048"/>
            <w:vAlign w:val="center"/>
          </w:tcPr>
          <w:p>
            <w:pPr>
              <w:jc w:val="left"/>
            </w:pPr>
            <w:r/>
            <w:r>
              <w:rPr>
                <w:b w:val="0"/>
                <w:color w:val="000000"/>
                <w:sz w:val="18"/>
              </w:rPr>
              <w:t>17</w:t>
            </w:r>
          </w:p>
        </w:tc>
      </w:tr>
      <w:tr>
        <w:tc>
          <w:tcPr>
            <w:tcW w:type="dxa" w:w="3600"/>
            <w:vAlign w:val="center"/>
          </w:tcPr>
          <w:p>
            <w:pPr>
              <w:jc w:val="left"/>
            </w:pPr>
            <w:r/>
            <w:r>
              <w:rPr>
                <w:b w:val="0"/>
                <w:color w:val="000000"/>
                <w:sz w:val="18"/>
              </w:rPr>
              <w:t>Transaction Records</w:t>
            </w:r>
          </w:p>
        </w:tc>
        <w:tc>
          <w:tcPr>
            <w:tcW w:type="dxa" w:w="6048"/>
            <w:vAlign w:val="center"/>
          </w:tcPr>
          <w:p>
            <w:pPr>
              <w:jc w:val="left"/>
            </w:pPr>
            <w:r/>
            <w:r>
              <w:rPr>
                <w:b w:val="0"/>
                <w:color w:val="000000"/>
                <w:sz w:val="18"/>
              </w:rPr>
              <w:t>8,314</w:t>
            </w:r>
          </w:p>
        </w:tc>
      </w:tr>
    </w:tbl>
    <w:p/>
    <w:p>
      <w:pPr>
        <w:pStyle w:val="Heading1"/>
      </w:pPr>
      <w:r>
        <w:t>7. Category Analysis</w:t>
      </w:r>
    </w:p>
    <w:tbl>
      <w:tblPr>
        <w:tblStyle w:val="TableGrid"/>
        <w:tblW w:type="auto" w:w="0"/>
        <w:jc w:val="center"/>
        <w:tblLook w:firstColumn="1" w:firstRow="1" w:lastColumn="0" w:lastRow="0" w:noHBand="0" w:noVBand="1" w:val="04A0"/>
      </w:tblPr>
      <w:tblGrid>
        <w:gridCol w:w="2016"/>
        <w:gridCol w:w="2016"/>
        <w:gridCol w:w="2016"/>
        <w:gridCol w:w="2016"/>
        <w:gridCol w:w="2016"/>
      </w:tblGrid>
      <w:tr>
        <w:trPr>
          <w:tblHeader w:val="true"/>
        </w:trPr>
        <w:tc>
          <w:tcPr>
            <w:tcW w:type="dxa" w:w="2160"/>
            <w:vAlign w:val="center"/>
            <w:shd w:fill="1F4E78"/>
          </w:tcPr>
          <w:p>
            <w:pPr>
              <w:jc w:val="left"/>
            </w:pPr>
            <w:r/>
            <w:r>
              <w:rPr>
                <w:b/>
                <w:color w:val="FFFFFF"/>
                <w:sz w:val="18"/>
              </w:rPr>
              <w:t>Category</w:t>
            </w:r>
          </w:p>
        </w:tc>
        <w:tc>
          <w:tcPr>
            <w:tcW w:type="dxa" w:w="2016"/>
            <w:vAlign w:val="center"/>
            <w:shd w:fill="1F4E78"/>
          </w:tcPr>
          <w:p>
            <w:pPr>
              <w:jc w:val="left"/>
            </w:pPr>
            <w:r/>
            <w:r>
              <w:rPr>
                <w:b/>
                <w:color w:val="FFFFFF"/>
                <w:sz w:val="18"/>
              </w:rPr>
              <w:t>Sales</w:t>
            </w:r>
          </w:p>
        </w:tc>
        <w:tc>
          <w:tcPr>
            <w:tcW w:type="dxa" w:w="2016"/>
            <w:vAlign w:val="center"/>
            <w:shd w:fill="1F4E78"/>
          </w:tcPr>
          <w:p>
            <w:pPr>
              <w:jc w:val="left"/>
            </w:pPr>
            <w:r/>
            <w:r>
              <w:rPr>
                <w:b/>
                <w:color w:val="FFFFFF"/>
                <w:sz w:val="18"/>
              </w:rPr>
              <w:t>Profit</w:t>
            </w:r>
          </w:p>
        </w:tc>
        <w:tc>
          <w:tcPr>
            <w:tcW w:type="dxa" w:w="2016"/>
            <w:vAlign w:val="center"/>
            <w:shd w:fill="1F4E78"/>
          </w:tcPr>
          <w:p>
            <w:pPr>
              <w:jc w:val="left"/>
            </w:pPr>
            <w:r/>
            <w:r>
              <w:rPr>
                <w:b/>
                <w:color w:val="FFFFFF"/>
                <w:sz w:val="18"/>
              </w:rPr>
              <w:t>Profit margin</w:t>
            </w:r>
          </w:p>
        </w:tc>
        <w:tc>
          <w:tcPr>
            <w:tcW w:type="dxa" w:w="1872"/>
            <w:vAlign w:val="center"/>
            <w:shd w:fill="1F4E78"/>
          </w:tcPr>
          <w:p>
            <w:pPr>
              <w:jc w:val="left"/>
            </w:pPr>
            <w:r/>
            <w:r>
              <w:rPr>
                <w:b/>
                <w:color w:val="FFFFFF"/>
                <w:sz w:val="18"/>
              </w:rPr>
              <w:t>Sales share</w:t>
            </w:r>
          </w:p>
        </w:tc>
      </w:tr>
      <w:tr>
        <w:tc>
          <w:tcPr>
            <w:tcW w:type="dxa" w:w="2160"/>
            <w:vAlign w:val="center"/>
          </w:tcPr>
          <w:p>
            <w:pPr>
              <w:jc w:val="left"/>
            </w:pPr>
            <w:r/>
            <w:r>
              <w:rPr>
                <w:b w:val="0"/>
                <w:color w:val="000000"/>
                <w:sz w:val="18"/>
              </w:rPr>
              <w:t>Technology</w:t>
            </w:r>
          </w:p>
        </w:tc>
        <w:tc>
          <w:tcPr>
            <w:tcW w:type="dxa" w:w="2016"/>
            <w:vAlign w:val="center"/>
          </w:tcPr>
          <w:p>
            <w:pPr>
              <w:jc w:val="left"/>
            </w:pPr>
            <w:r/>
            <w:r>
              <w:rPr>
                <w:b w:val="0"/>
                <w:color w:val="000000"/>
                <w:sz w:val="18"/>
              </w:rPr>
              <w:t>$704,452.15</w:t>
            </w:r>
          </w:p>
        </w:tc>
        <w:tc>
          <w:tcPr>
            <w:tcW w:type="dxa" w:w="2016"/>
            <w:vAlign w:val="center"/>
          </w:tcPr>
          <w:p>
            <w:pPr>
              <w:jc w:val="left"/>
            </w:pPr>
            <w:r/>
            <w:r>
              <w:rPr>
                <w:b w:val="0"/>
                <w:color w:val="000000"/>
                <w:sz w:val="18"/>
              </w:rPr>
              <w:t>$121,861.73</w:t>
            </w:r>
          </w:p>
        </w:tc>
        <w:tc>
          <w:tcPr>
            <w:tcW w:type="dxa" w:w="2016"/>
            <w:vAlign w:val="center"/>
          </w:tcPr>
          <w:p>
            <w:pPr>
              <w:jc w:val="left"/>
            </w:pPr>
            <w:r/>
            <w:r>
              <w:rPr>
                <w:b w:val="0"/>
                <w:color w:val="000000"/>
                <w:sz w:val="18"/>
              </w:rPr>
              <w:t>17.3%</w:t>
            </w:r>
          </w:p>
        </w:tc>
        <w:tc>
          <w:tcPr>
            <w:tcW w:type="dxa" w:w="1872"/>
            <w:vAlign w:val="center"/>
          </w:tcPr>
          <w:p>
            <w:pPr>
              <w:jc w:val="left"/>
            </w:pPr>
            <w:r/>
            <w:r>
              <w:rPr>
                <w:b w:val="0"/>
                <w:color w:val="000000"/>
                <w:sz w:val="18"/>
              </w:rPr>
              <w:t>36.5%</w:t>
            </w:r>
          </w:p>
        </w:tc>
      </w:tr>
      <w:tr>
        <w:tc>
          <w:tcPr>
            <w:tcW w:type="dxa" w:w="2160"/>
            <w:vAlign w:val="center"/>
          </w:tcPr>
          <w:p>
            <w:pPr>
              <w:jc w:val="left"/>
            </w:pPr>
            <w:r/>
            <w:r>
              <w:rPr>
                <w:b w:val="0"/>
                <w:color w:val="000000"/>
                <w:sz w:val="18"/>
              </w:rPr>
              <w:t>Furniture</w:t>
            </w:r>
          </w:p>
        </w:tc>
        <w:tc>
          <w:tcPr>
            <w:tcW w:type="dxa" w:w="2016"/>
            <w:vAlign w:val="center"/>
          </w:tcPr>
          <w:p>
            <w:pPr>
              <w:jc w:val="left"/>
            </w:pPr>
            <w:r/>
            <w:r>
              <w:rPr>
                <w:b w:val="0"/>
                <w:color w:val="000000"/>
                <w:sz w:val="18"/>
              </w:rPr>
              <w:t>$622,342.10</w:t>
            </w:r>
          </w:p>
        </w:tc>
        <w:tc>
          <w:tcPr>
            <w:tcW w:type="dxa" w:w="2016"/>
            <w:vAlign w:val="center"/>
          </w:tcPr>
          <w:p>
            <w:pPr>
              <w:jc w:val="left"/>
            </w:pPr>
            <w:r/>
            <w:r>
              <w:rPr>
                <w:b w:val="0"/>
                <w:color w:val="000000"/>
                <w:sz w:val="18"/>
              </w:rPr>
              <w:t>$17,888.67</w:t>
            </w:r>
          </w:p>
        </w:tc>
        <w:tc>
          <w:tcPr>
            <w:tcW w:type="dxa" w:w="2016"/>
            <w:vAlign w:val="center"/>
          </w:tcPr>
          <w:p>
            <w:pPr>
              <w:jc w:val="left"/>
            </w:pPr>
            <w:r/>
            <w:r>
              <w:rPr>
                <w:b w:val="0"/>
                <w:color w:val="000000"/>
                <w:sz w:val="18"/>
              </w:rPr>
              <w:t>2.9%</w:t>
            </w:r>
          </w:p>
        </w:tc>
        <w:tc>
          <w:tcPr>
            <w:tcW w:type="dxa" w:w="1872"/>
            <w:vAlign w:val="center"/>
          </w:tcPr>
          <w:p>
            <w:pPr>
              <w:jc w:val="left"/>
            </w:pPr>
            <w:r/>
            <w:r>
              <w:rPr>
                <w:b w:val="0"/>
                <w:color w:val="000000"/>
                <w:sz w:val="18"/>
              </w:rPr>
              <w:t>32.3%</w:t>
            </w:r>
          </w:p>
        </w:tc>
      </w:tr>
      <w:tr>
        <w:tc>
          <w:tcPr>
            <w:tcW w:type="dxa" w:w="2160"/>
            <w:vAlign w:val="center"/>
          </w:tcPr>
          <w:p>
            <w:pPr>
              <w:jc w:val="left"/>
            </w:pPr>
            <w:r/>
            <w:r>
              <w:rPr>
                <w:b w:val="0"/>
                <w:color w:val="000000"/>
                <w:sz w:val="18"/>
              </w:rPr>
              <w:t>Office Supplies</w:t>
            </w:r>
          </w:p>
        </w:tc>
        <w:tc>
          <w:tcPr>
            <w:tcW w:type="dxa" w:w="2016"/>
            <w:vAlign w:val="center"/>
          </w:tcPr>
          <w:p>
            <w:pPr>
              <w:jc w:val="left"/>
            </w:pPr>
            <w:r/>
            <w:r>
              <w:rPr>
                <w:b w:val="0"/>
                <w:color w:val="000000"/>
                <w:sz w:val="18"/>
              </w:rPr>
              <w:t>$602,093.61</w:t>
            </w:r>
          </w:p>
        </w:tc>
        <w:tc>
          <w:tcPr>
            <w:tcW w:type="dxa" w:w="2016"/>
            <w:vAlign w:val="center"/>
          </w:tcPr>
          <w:p>
            <w:pPr>
              <w:jc w:val="left"/>
            </w:pPr>
            <w:r/>
            <w:r>
              <w:rPr>
                <w:b w:val="0"/>
                <w:color w:val="000000"/>
                <w:sz w:val="18"/>
              </w:rPr>
              <w:t>$108,210.67</w:t>
            </w:r>
          </w:p>
        </w:tc>
        <w:tc>
          <w:tcPr>
            <w:tcW w:type="dxa" w:w="2016"/>
            <w:vAlign w:val="center"/>
          </w:tcPr>
          <w:p>
            <w:pPr>
              <w:jc w:val="left"/>
            </w:pPr>
            <w:r/>
            <w:r>
              <w:rPr>
                <w:b w:val="0"/>
                <w:color w:val="000000"/>
                <w:sz w:val="18"/>
              </w:rPr>
              <w:t>18.0%</w:t>
            </w:r>
          </w:p>
        </w:tc>
        <w:tc>
          <w:tcPr>
            <w:tcW w:type="dxa" w:w="1872"/>
            <w:vAlign w:val="center"/>
          </w:tcPr>
          <w:p>
            <w:pPr>
              <w:jc w:val="left"/>
            </w:pPr>
            <w:r/>
            <w:r>
              <w:rPr>
                <w:b w:val="0"/>
                <w:color w:val="000000"/>
                <w:sz w:val="18"/>
              </w:rPr>
              <w:t>31.2%</w:t>
            </w:r>
          </w:p>
        </w:tc>
      </w:tr>
    </w:tbl>
    <w:p/>
    <w:p>
      <w:pPr>
        <w:pStyle w:val="Callout"/>
      </w:pPr>
      <w:r>
        <w:t>Interpretation: Technology has the highest sales contribution and the highest total profit among the three major categories. Office Supplies contributes slightly less sales than Furniture but generates substantially higher profit. Furniture contributes a similar share of sales but has a much lower profit margin.</w:t>
      </w:r>
    </w:p>
    <w:p>
      <w:pPr>
        <w:pStyle w:val="Heading1"/>
      </w:pPr>
      <w:r>
        <w:t>8. Year-wise Performance</w:t>
      </w:r>
    </w:p>
    <w:tbl>
      <w:tblPr>
        <w:tblStyle w:val="TableGrid"/>
        <w:tblW w:type="auto" w:w="0"/>
        <w:jc w:val="center"/>
        <w:tblLook w:firstColumn="1" w:firstRow="1" w:lastColumn="0" w:lastRow="0" w:noHBand="0" w:noVBand="1" w:val="04A0"/>
      </w:tblPr>
      <w:tblGrid>
        <w:gridCol w:w="2016"/>
        <w:gridCol w:w="2016"/>
        <w:gridCol w:w="2016"/>
        <w:gridCol w:w="2016"/>
        <w:gridCol w:w="2016"/>
      </w:tblGrid>
      <w:tr>
        <w:trPr>
          <w:tblHeader w:val="true"/>
        </w:trPr>
        <w:tc>
          <w:tcPr>
            <w:tcW w:type="dxa" w:w="1440"/>
            <w:vAlign w:val="center"/>
            <w:shd w:fill="1F4E78"/>
          </w:tcPr>
          <w:p>
            <w:pPr>
              <w:jc w:val="left"/>
            </w:pPr>
            <w:r/>
            <w:r>
              <w:rPr>
                <w:b/>
                <w:color w:val="FFFFFF"/>
                <w:sz w:val="18"/>
              </w:rPr>
              <w:t>Year</w:t>
            </w:r>
          </w:p>
        </w:tc>
        <w:tc>
          <w:tcPr>
            <w:tcW w:type="dxa" w:w="2448"/>
            <w:vAlign w:val="center"/>
            <w:shd w:fill="1F4E78"/>
          </w:tcPr>
          <w:p>
            <w:pPr>
              <w:jc w:val="left"/>
            </w:pPr>
            <w:r/>
            <w:r>
              <w:rPr>
                <w:b/>
                <w:color w:val="FFFFFF"/>
                <w:sz w:val="18"/>
              </w:rPr>
              <w:t>Sales</w:t>
            </w:r>
          </w:p>
        </w:tc>
        <w:tc>
          <w:tcPr>
            <w:tcW w:type="dxa" w:w="2448"/>
            <w:vAlign w:val="center"/>
            <w:shd w:fill="1F4E78"/>
          </w:tcPr>
          <w:p>
            <w:pPr>
              <w:jc w:val="left"/>
            </w:pPr>
            <w:r/>
            <w:r>
              <w:rPr>
                <w:b/>
                <w:color w:val="FFFFFF"/>
                <w:sz w:val="18"/>
              </w:rPr>
              <w:t>Profit</w:t>
            </w:r>
          </w:p>
        </w:tc>
        <w:tc>
          <w:tcPr>
            <w:tcW w:type="dxa" w:w="2016"/>
            <w:vAlign w:val="center"/>
            <w:shd w:fill="1F4E78"/>
          </w:tcPr>
          <w:p>
            <w:pPr>
              <w:jc w:val="left"/>
            </w:pPr>
            <w:r/>
            <w:r>
              <w:rPr>
                <w:b/>
                <w:color w:val="FFFFFF"/>
                <w:sz w:val="18"/>
              </w:rPr>
              <w:t>Profit margin</w:t>
            </w:r>
          </w:p>
        </w:tc>
        <w:tc>
          <w:tcPr>
            <w:tcW w:type="dxa" w:w="1728"/>
            <w:vAlign w:val="center"/>
            <w:shd w:fill="1F4E78"/>
          </w:tcPr>
          <w:p>
            <w:pPr>
              <w:jc w:val="left"/>
            </w:pPr>
            <w:r/>
            <w:r>
              <w:rPr>
                <w:b/>
                <w:color w:val="FFFFFF"/>
                <w:sz w:val="18"/>
              </w:rPr>
              <w:t>Customers</w:t>
            </w:r>
          </w:p>
        </w:tc>
      </w:tr>
      <w:tr>
        <w:tc>
          <w:tcPr>
            <w:tcW w:type="dxa" w:w="1440"/>
            <w:vAlign w:val="center"/>
          </w:tcPr>
          <w:p>
            <w:pPr>
              <w:jc w:val="left"/>
            </w:pPr>
            <w:r/>
            <w:r>
              <w:rPr>
                <w:b w:val="0"/>
                <w:color w:val="000000"/>
                <w:sz w:val="18"/>
              </w:rPr>
              <w:t>2021</w:t>
            </w:r>
          </w:p>
        </w:tc>
        <w:tc>
          <w:tcPr>
            <w:tcW w:type="dxa" w:w="2448"/>
            <w:vAlign w:val="center"/>
          </w:tcPr>
          <w:p>
            <w:pPr>
              <w:jc w:val="left"/>
            </w:pPr>
            <w:r/>
            <w:r>
              <w:rPr>
                <w:b w:val="0"/>
                <w:color w:val="000000"/>
                <w:sz w:val="18"/>
              </w:rPr>
              <w:t>$483,966.19</w:t>
            </w:r>
          </w:p>
        </w:tc>
        <w:tc>
          <w:tcPr>
            <w:tcW w:type="dxa" w:w="2448"/>
            <w:vAlign w:val="center"/>
          </w:tcPr>
          <w:p>
            <w:pPr>
              <w:jc w:val="left"/>
            </w:pPr>
            <w:r/>
            <w:r>
              <w:rPr>
                <w:b w:val="0"/>
                <w:color w:val="000000"/>
                <w:sz w:val="18"/>
              </w:rPr>
              <w:t>$49,556.12</w:t>
            </w:r>
          </w:p>
        </w:tc>
        <w:tc>
          <w:tcPr>
            <w:tcW w:type="dxa" w:w="2016"/>
            <w:vAlign w:val="center"/>
          </w:tcPr>
          <w:p>
            <w:pPr>
              <w:jc w:val="left"/>
            </w:pPr>
            <w:r/>
            <w:r>
              <w:rPr>
                <w:b w:val="0"/>
                <w:color w:val="000000"/>
                <w:sz w:val="18"/>
              </w:rPr>
              <w:t>10.2%</w:t>
            </w:r>
          </w:p>
        </w:tc>
        <w:tc>
          <w:tcPr>
            <w:tcW w:type="dxa" w:w="1728"/>
            <w:vAlign w:val="center"/>
          </w:tcPr>
          <w:p>
            <w:pPr>
              <w:jc w:val="left"/>
            </w:pPr>
            <w:r/>
            <w:r>
              <w:rPr>
                <w:b w:val="0"/>
                <w:color w:val="000000"/>
                <w:sz w:val="18"/>
              </w:rPr>
              <w:t>595</w:t>
            </w:r>
          </w:p>
        </w:tc>
      </w:tr>
      <w:tr>
        <w:tc>
          <w:tcPr>
            <w:tcW w:type="dxa" w:w="1440"/>
            <w:vAlign w:val="center"/>
          </w:tcPr>
          <w:p>
            <w:pPr>
              <w:jc w:val="left"/>
            </w:pPr>
            <w:r/>
            <w:r>
              <w:rPr>
                <w:b w:val="0"/>
                <w:color w:val="000000"/>
                <w:sz w:val="18"/>
              </w:rPr>
              <w:t>2022</w:t>
            </w:r>
          </w:p>
        </w:tc>
        <w:tc>
          <w:tcPr>
            <w:tcW w:type="dxa" w:w="2448"/>
            <w:vAlign w:val="center"/>
          </w:tcPr>
          <w:p>
            <w:pPr>
              <w:jc w:val="left"/>
            </w:pPr>
            <w:r/>
            <w:r>
              <w:rPr>
                <w:b w:val="0"/>
                <w:color w:val="000000"/>
                <w:sz w:val="18"/>
              </w:rPr>
              <w:t>$470,532.46</w:t>
            </w:r>
          </w:p>
        </w:tc>
        <w:tc>
          <w:tcPr>
            <w:tcW w:type="dxa" w:w="2448"/>
            <w:vAlign w:val="center"/>
          </w:tcPr>
          <w:p>
            <w:pPr>
              <w:jc w:val="left"/>
            </w:pPr>
            <w:r/>
            <w:r>
              <w:rPr>
                <w:b w:val="0"/>
                <w:color w:val="000000"/>
                <w:sz w:val="18"/>
              </w:rPr>
              <w:t>$61,618.69</w:t>
            </w:r>
          </w:p>
        </w:tc>
        <w:tc>
          <w:tcPr>
            <w:tcW w:type="dxa" w:w="2016"/>
            <w:vAlign w:val="center"/>
          </w:tcPr>
          <w:p>
            <w:pPr>
              <w:jc w:val="left"/>
            </w:pPr>
            <w:r/>
            <w:r>
              <w:rPr>
                <w:b w:val="0"/>
                <w:color w:val="000000"/>
                <w:sz w:val="18"/>
              </w:rPr>
              <w:t>13.1%</w:t>
            </w:r>
          </w:p>
        </w:tc>
        <w:tc>
          <w:tcPr>
            <w:tcW w:type="dxa" w:w="1728"/>
            <w:vAlign w:val="center"/>
          </w:tcPr>
          <w:p>
            <w:pPr>
              <w:jc w:val="left"/>
            </w:pPr>
            <w:r/>
            <w:r>
              <w:rPr>
                <w:b w:val="0"/>
                <w:color w:val="000000"/>
                <w:sz w:val="18"/>
              </w:rPr>
              <w:t>573</w:t>
            </w:r>
          </w:p>
        </w:tc>
      </w:tr>
      <w:tr>
        <w:tc>
          <w:tcPr>
            <w:tcW w:type="dxa" w:w="1440"/>
            <w:vAlign w:val="center"/>
          </w:tcPr>
          <w:p>
            <w:pPr>
              <w:jc w:val="left"/>
            </w:pPr>
            <w:r/>
            <w:r>
              <w:rPr>
                <w:b w:val="0"/>
                <w:color w:val="000000"/>
                <w:sz w:val="18"/>
              </w:rPr>
              <w:t>2023</w:t>
            </w:r>
          </w:p>
        </w:tc>
        <w:tc>
          <w:tcPr>
            <w:tcW w:type="dxa" w:w="2448"/>
            <w:vAlign w:val="center"/>
          </w:tcPr>
          <w:p>
            <w:pPr>
              <w:jc w:val="left"/>
            </w:pPr>
            <w:r/>
            <w:r>
              <w:rPr>
                <w:b w:val="0"/>
                <w:color w:val="000000"/>
                <w:sz w:val="18"/>
              </w:rPr>
              <w:t>$609,094.76</w:t>
            </w:r>
          </w:p>
        </w:tc>
        <w:tc>
          <w:tcPr>
            <w:tcW w:type="dxa" w:w="2448"/>
            <w:vAlign w:val="center"/>
          </w:tcPr>
          <w:p>
            <w:pPr>
              <w:jc w:val="left"/>
            </w:pPr>
            <w:r/>
            <w:r>
              <w:rPr>
                <w:b w:val="0"/>
                <w:color w:val="000000"/>
                <w:sz w:val="18"/>
              </w:rPr>
              <w:t>$81,786.94</w:t>
            </w:r>
          </w:p>
        </w:tc>
        <w:tc>
          <w:tcPr>
            <w:tcW w:type="dxa" w:w="2016"/>
            <w:vAlign w:val="center"/>
          </w:tcPr>
          <w:p>
            <w:pPr>
              <w:jc w:val="left"/>
            </w:pPr>
            <w:r/>
            <w:r>
              <w:rPr>
                <w:b w:val="0"/>
                <w:color w:val="000000"/>
                <w:sz w:val="18"/>
              </w:rPr>
              <w:t>13.4%</w:t>
            </w:r>
          </w:p>
        </w:tc>
        <w:tc>
          <w:tcPr>
            <w:tcW w:type="dxa" w:w="1728"/>
            <w:vAlign w:val="center"/>
          </w:tcPr>
          <w:p>
            <w:pPr>
              <w:jc w:val="left"/>
            </w:pPr>
            <w:r/>
            <w:r>
              <w:rPr>
                <w:b w:val="0"/>
                <w:color w:val="000000"/>
                <w:sz w:val="18"/>
              </w:rPr>
              <w:t>638</w:t>
            </w:r>
          </w:p>
        </w:tc>
      </w:tr>
      <w:tr>
        <w:tc>
          <w:tcPr>
            <w:tcW w:type="dxa" w:w="1440"/>
            <w:vAlign w:val="center"/>
          </w:tcPr>
          <w:p>
            <w:pPr>
              <w:jc w:val="left"/>
            </w:pPr>
            <w:r/>
            <w:r>
              <w:rPr>
                <w:b w:val="0"/>
                <w:color w:val="000000"/>
                <w:sz w:val="18"/>
              </w:rPr>
              <w:t>2024</w:t>
            </w:r>
          </w:p>
        </w:tc>
        <w:tc>
          <w:tcPr>
            <w:tcW w:type="dxa" w:w="2448"/>
            <w:vAlign w:val="center"/>
          </w:tcPr>
          <w:p>
            <w:pPr>
              <w:jc w:val="left"/>
            </w:pPr>
            <w:r/>
            <w:r>
              <w:rPr>
                <w:b w:val="0"/>
                <w:color w:val="000000"/>
                <w:sz w:val="18"/>
              </w:rPr>
              <w:t>$365,294.45</w:t>
            </w:r>
          </w:p>
        </w:tc>
        <w:tc>
          <w:tcPr>
            <w:tcW w:type="dxa" w:w="2448"/>
            <w:vAlign w:val="center"/>
          </w:tcPr>
          <w:p>
            <w:pPr>
              <w:jc w:val="left"/>
            </w:pPr>
            <w:r/>
            <w:r>
              <w:rPr>
                <w:b w:val="0"/>
                <w:color w:val="000000"/>
                <w:sz w:val="18"/>
              </w:rPr>
              <w:t>$54,999.32</w:t>
            </w:r>
          </w:p>
        </w:tc>
        <w:tc>
          <w:tcPr>
            <w:tcW w:type="dxa" w:w="2016"/>
            <w:vAlign w:val="center"/>
          </w:tcPr>
          <w:p>
            <w:pPr>
              <w:jc w:val="left"/>
            </w:pPr>
            <w:r/>
            <w:r>
              <w:rPr>
                <w:b w:val="0"/>
                <w:color w:val="000000"/>
                <w:sz w:val="18"/>
              </w:rPr>
              <w:t>15.1%</w:t>
            </w:r>
          </w:p>
        </w:tc>
        <w:tc>
          <w:tcPr>
            <w:tcW w:type="dxa" w:w="1728"/>
            <w:vAlign w:val="center"/>
          </w:tcPr>
          <w:p>
            <w:pPr>
              <w:jc w:val="left"/>
            </w:pPr>
            <w:r/>
            <w:r>
              <w:rPr>
                <w:b w:val="0"/>
                <w:color w:val="000000"/>
                <w:sz w:val="18"/>
              </w:rPr>
              <w:t>513</w:t>
            </w:r>
          </w:p>
        </w:tc>
      </w:tr>
    </w:tbl>
    <w:p/>
    <w:p>
      <w:pPr>
        <w:pStyle w:val="Callout"/>
      </w:pPr>
      <w:r>
        <w:t>Interpretation: 2023 records the highest annual sales and profit in this dataset. The 2024 period has lower sales than the other years but the highest profit margin, so lower sales do not automatically imply weaker profitability.</w:t>
      </w:r>
    </w:p>
    <w:p>
      <w:pPr>
        <w:pStyle w:val="Heading1"/>
      </w:pPr>
      <w:r>
        <w:t>9. Monthly Sales Performance</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1872"/>
            <w:vAlign w:val="center"/>
            <w:shd w:fill="1F4E78"/>
          </w:tcPr>
          <w:p>
            <w:pPr>
              <w:jc w:val="left"/>
            </w:pPr>
            <w:r/>
            <w:r>
              <w:rPr>
                <w:b/>
                <w:color w:val="FFFFFF"/>
                <w:sz w:val="18"/>
              </w:rPr>
              <w:t>Month</w:t>
            </w:r>
          </w:p>
        </w:tc>
        <w:tc>
          <w:tcPr>
            <w:tcW w:type="dxa" w:w="3168"/>
            <w:vAlign w:val="center"/>
            <w:shd w:fill="1F4E78"/>
          </w:tcPr>
          <w:p>
            <w:pPr>
              <w:jc w:val="left"/>
            </w:pPr>
            <w:r/>
            <w:r>
              <w:rPr>
                <w:b/>
                <w:color w:val="FFFFFF"/>
                <w:sz w:val="18"/>
              </w:rPr>
              <w:t>Sales</w:t>
            </w:r>
          </w:p>
        </w:tc>
        <w:tc>
          <w:tcPr>
            <w:tcW w:type="dxa" w:w="3168"/>
            <w:vAlign w:val="center"/>
            <w:shd w:fill="1F4E78"/>
          </w:tcPr>
          <w:p>
            <w:pPr>
              <w:jc w:val="left"/>
            </w:pPr>
            <w:r/>
            <w:r>
              <w:rPr>
                <w:b/>
                <w:color w:val="FFFFFF"/>
                <w:sz w:val="18"/>
              </w:rPr>
              <w:t>Profit</w:t>
            </w:r>
          </w:p>
        </w:tc>
      </w:tr>
      <w:tr>
        <w:tc>
          <w:tcPr>
            <w:tcW w:type="dxa" w:w="1872"/>
            <w:vAlign w:val="center"/>
          </w:tcPr>
          <w:p>
            <w:pPr>
              <w:jc w:val="left"/>
            </w:pPr>
            <w:r/>
            <w:r>
              <w:rPr>
                <w:b w:val="0"/>
                <w:color w:val="000000"/>
                <w:sz w:val="18"/>
              </w:rPr>
              <w:t>Jan</w:t>
            </w:r>
          </w:p>
        </w:tc>
        <w:tc>
          <w:tcPr>
            <w:tcW w:type="dxa" w:w="3168"/>
            <w:vAlign w:val="center"/>
          </w:tcPr>
          <w:p>
            <w:pPr>
              <w:jc w:val="left"/>
            </w:pPr>
            <w:r/>
            <w:r>
              <w:rPr>
                <w:b w:val="0"/>
                <w:color w:val="000000"/>
                <w:sz w:val="18"/>
              </w:rPr>
              <w:t>$94,924.87</w:t>
            </w:r>
          </w:p>
        </w:tc>
        <w:tc>
          <w:tcPr>
            <w:tcW w:type="dxa" w:w="3168"/>
            <w:vAlign w:val="center"/>
          </w:tcPr>
          <w:p>
            <w:pPr>
              <w:jc w:val="left"/>
            </w:pPr>
            <w:r/>
            <w:r>
              <w:rPr>
                <w:b w:val="0"/>
                <w:color w:val="000000"/>
                <w:sz w:val="18"/>
              </w:rPr>
              <w:t>$9,134.48</w:t>
            </w:r>
          </w:p>
        </w:tc>
      </w:tr>
      <w:tr>
        <w:tc>
          <w:tcPr>
            <w:tcW w:type="dxa" w:w="1872"/>
            <w:vAlign w:val="center"/>
          </w:tcPr>
          <w:p>
            <w:pPr>
              <w:jc w:val="left"/>
            </w:pPr>
            <w:r/>
            <w:r>
              <w:rPr>
                <w:b w:val="0"/>
                <w:color w:val="000000"/>
                <w:sz w:val="18"/>
              </w:rPr>
              <w:t>Feb</w:t>
            </w:r>
          </w:p>
        </w:tc>
        <w:tc>
          <w:tcPr>
            <w:tcW w:type="dxa" w:w="3168"/>
            <w:vAlign w:val="center"/>
          </w:tcPr>
          <w:p>
            <w:pPr>
              <w:jc w:val="left"/>
            </w:pPr>
            <w:r/>
            <w:r>
              <w:rPr>
                <w:b w:val="0"/>
                <w:color w:val="000000"/>
                <w:sz w:val="18"/>
              </w:rPr>
              <w:t>$59,640.16</w:t>
            </w:r>
          </w:p>
        </w:tc>
        <w:tc>
          <w:tcPr>
            <w:tcW w:type="dxa" w:w="3168"/>
            <w:vAlign w:val="center"/>
          </w:tcPr>
          <w:p>
            <w:pPr>
              <w:jc w:val="left"/>
            </w:pPr>
            <w:r/>
            <w:r>
              <w:rPr>
                <w:b w:val="0"/>
                <w:color w:val="000000"/>
                <w:sz w:val="18"/>
              </w:rPr>
              <w:t>$10,286.29</w:t>
            </w:r>
          </w:p>
        </w:tc>
      </w:tr>
      <w:tr>
        <w:tc>
          <w:tcPr>
            <w:tcW w:type="dxa" w:w="1872"/>
            <w:vAlign w:val="center"/>
          </w:tcPr>
          <w:p>
            <w:pPr>
              <w:jc w:val="left"/>
            </w:pPr>
            <w:r/>
            <w:r>
              <w:rPr>
                <w:b w:val="0"/>
                <w:color w:val="000000"/>
                <w:sz w:val="18"/>
              </w:rPr>
              <w:t>Mar</w:t>
            </w:r>
          </w:p>
        </w:tc>
        <w:tc>
          <w:tcPr>
            <w:tcW w:type="dxa" w:w="3168"/>
            <w:vAlign w:val="center"/>
          </w:tcPr>
          <w:p>
            <w:pPr>
              <w:jc w:val="left"/>
            </w:pPr>
            <w:r/>
            <w:r>
              <w:rPr>
                <w:b w:val="0"/>
                <w:color w:val="000000"/>
                <w:sz w:val="18"/>
              </w:rPr>
              <w:t>$205,005.51</w:t>
            </w:r>
          </w:p>
        </w:tc>
        <w:tc>
          <w:tcPr>
            <w:tcW w:type="dxa" w:w="3168"/>
            <w:vAlign w:val="center"/>
          </w:tcPr>
          <w:p>
            <w:pPr>
              <w:jc w:val="left"/>
            </w:pPr>
            <w:r/>
            <w:r>
              <w:rPr>
                <w:b w:val="0"/>
                <w:color w:val="000000"/>
                <w:sz w:val="18"/>
              </w:rPr>
              <w:t>$28,594.64</w:t>
            </w:r>
          </w:p>
        </w:tc>
      </w:tr>
      <w:tr>
        <w:tc>
          <w:tcPr>
            <w:tcW w:type="dxa" w:w="1872"/>
            <w:vAlign w:val="center"/>
          </w:tcPr>
          <w:p>
            <w:pPr>
              <w:jc w:val="left"/>
            </w:pPr>
            <w:r/>
            <w:r>
              <w:rPr>
                <w:b w:val="0"/>
                <w:color w:val="000000"/>
                <w:sz w:val="18"/>
              </w:rPr>
              <w:t>Apr</w:t>
            </w:r>
          </w:p>
        </w:tc>
        <w:tc>
          <w:tcPr>
            <w:tcW w:type="dxa" w:w="3168"/>
            <w:vAlign w:val="center"/>
          </w:tcPr>
          <w:p>
            <w:pPr>
              <w:jc w:val="left"/>
            </w:pPr>
            <w:r/>
            <w:r>
              <w:rPr>
                <w:b w:val="0"/>
                <w:color w:val="000000"/>
                <w:sz w:val="18"/>
              </w:rPr>
              <w:t>$137,480.79</w:t>
            </w:r>
          </w:p>
        </w:tc>
        <w:tc>
          <w:tcPr>
            <w:tcW w:type="dxa" w:w="3168"/>
            <w:vAlign w:val="center"/>
          </w:tcPr>
          <w:p>
            <w:pPr>
              <w:jc w:val="left"/>
            </w:pPr>
            <w:r/>
            <w:r>
              <w:rPr>
                <w:b w:val="0"/>
                <w:color w:val="000000"/>
                <w:sz w:val="18"/>
              </w:rPr>
              <w:t>$11,599.63</w:t>
            </w:r>
          </w:p>
        </w:tc>
      </w:tr>
      <w:tr>
        <w:tc>
          <w:tcPr>
            <w:tcW w:type="dxa" w:w="1872"/>
            <w:vAlign w:val="center"/>
          </w:tcPr>
          <w:p>
            <w:pPr>
              <w:jc w:val="left"/>
            </w:pPr>
            <w:r/>
            <w:r>
              <w:rPr>
                <w:b w:val="0"/>
                <w:color w:val="000000"/>
                <w:sz w:val="18"/>
              </w:rPr>
              <w:t>May</w:t>
            </w:r>
          </w:p>
        </w:tc>
        <w:tc>
          <w:tcPr>
            <w:tcW w:type="dxa" w:w="3168"/>
            <w:vAlign w:val="center"/>
          </w:tcPr>
          <w:p>
            <w:pPr>
              <w:jc w:val="left"/>
            </w:pPr>
            <w:r/>
            <w:r>
              <w:rPr>
                <w:b w:val="0"/>
                <w:color w:val="000000"/>
                <w:sz w:val="18"/>
              </w:rPr>
              <w:t>$155,028.83</w:t>
            </w:r>
          </w:p>
        </w:tc>
        <w:tc>
          <w:tcPr>
            <w:tcW w:type="dxa" w:w="3168"/>
            <w:vAlign w:val="center"/>
          </w:tcPr>
          <w:p>
            <w:pPr>
              <w:jc w:val="left"/>
            </w:pPr>
            <w:r/>
            <w:r>
              <w:rPr>
                <w:b w:val="0"/>
                <w:color w:val="000000"/>
                <w:sz w:val="18"/>
              </w:rPr>
              <w:t>$22,411.36</w:t>
            </w:r>
          </w:p>
        </w:tc>
      </w:tr>
      <w:tr>
        <w:tc>
          <w:tcPr>
            <w:tcW w:type="dxa" w:w="1872"/>
            <w:vAlign w:val="center"/>
          </w:tcPr>
          <w:p>
            <w:pPr>
              <w:jc w:val="left"/>
            </w:pPr>
            <w:r/>
            <w:r>
              <w:rPr>
                <w:b w:val="0"/>
                <w:color w:val="000000"/>
                <w:sz w:val="18"/>
              </w:rPr>
              <w:t>Jun</w:t>
            </w:r>
          </w:p>
        </w:tc>
        <w:tc>
          <w:tcPr>
            <w:tcW w:type="dxa" w:w="3168"/>
            <w:vAlign w:val="center"/>
          </w:tcPr>
          <w:p>
            <w:pPr>
              <w:jc w:val="left"/>
            </w:pPr>
            <w:r/>
            <w:r>
              <w:rPr>
                <w:b w:val="0"/>
                <w:color w:val="000000"/>
                <w:sz w:val="18"/>
              </w:rPr>
              <w:t>$152,718.72</w:t>
            </w:r>
          </w:p>
        </w:tc>
        <w:tc>
          <w:tcPr>
            <w:tcW w:type="dxa" w:w="3168"/>
            <w:vAlign w:val="center"/>
          </w:tcPr>
          <w:p>
            <w:pPr>
              <w:jc w:val="left"/>
            </w:pPr>
            <w:r/>
            <w:r>
              <w:rPr>
                <w:b w:val="0"/>
                <w:color w:val="000000"/>
                <w:sz w:val="18"/>
              </w:rPr>
              <w:t>$21,285.87</w:t>
            </w:r>
          </w:p>
        </w:tc>
      </w:tr>
      <w:tr>
        <w:tc>
          <w:tcPr>
            <w:tcW w:type="dxa" w:w="1872"/>
            <w:vAlign w:val="center"/>
          </w:tcPr>
          <w:p>
            <w:pPr>
              <w:jc w:val="left"/>
            </w:pPr>
            <w:r/>
            <w:r>
              <w:rPr>
                <w:b w:val="0"/>
                <w:color w:val="000000"/>
                <w:sz w:val="18"/>
              </w:rPr>
              <w:t>Jul</w:t>
            </w:r>
          </w:p>
        </w:tc>
        <w:tc>
          <w:tcPr>
            <w:tcW w:type="dxa" w:w="3168"/>
            <w:vAlign w:val="center"/>
          </w:tcPr>
          <w:p>
            <w:pPr>
              <w:jc w:val="left"/>
            </w:pPr>
            <w:r/>
            <w:r>
              <w:rPr>
                <w:b w:val="0"/>
                <w:color w:val="000000"/>
                <w:sz w:val="18"/>
              </w:rPr>
              <w:t>$147,238.11</w:t>
            </w:r>
          </w:p>
        </w:tc>
        <w:tc>
          <w:tcPr>
            <w:tcW w:type="dxa" w:w="3168"/>
            <w:vAlign w:val="center"/>
          </w:tcPr>
          <w:p>
            <w:pPr>
              <w:jc w:val="left"/>
            </w:pPr>
            <w:r/>
            <w:r>
              <w:rPr>
                <w:b w:val="0"/>
                <w:color w:val="000000"/>
                <w:sz w:val="18"/>
              </w:rPr>
              <w:t>$13,832.75</w:t>
            </w:r>
          </w:p>
        </w:tc>
      </w:tr>
      <w:tr>
        <w:tc>
          <w:tcPr>
            <w:tcW w:type="dxa" w:w="1872"/>
            <w:vAlign w:val="center"/>
          </w:tcPr>
          <w:p>
            <w:pPr>
              <w:jc w:val="left"/>
            </w:pPr>
            <w:r/>
            <w:r>
              <w:rPr>
                <w:b w:val="0"/>
                <w:color w:val="000000"/>
                <w:sz w:val="18"/>
              </w:rPr>
              <w:t>Aug</w:t>
            </w:r>
          </w:p>
        </w:tc>
        <w:tc>
          <w:tcPr>
            <w:tcW w:type="dxa" w:w="3168"/>
            <w:vAlign w:val="center"/>
          </w:tcPr>
          <w:p>
            <w:pPr>
              <w:jc w:val="left"/>
            </w:pPr>
            <w:r/>
            <w:r>
              <w:rPr>
                <w:b w:val="0"/>
                <w:color w:val="000000"/>
                <w:sz w:val="18"/>
              </w:rPr>
              <w:t>$159,043.99</w:t>
            </w:r>
          </w:p>
        </w:tc>
        <w:tc>
          <w:tcPr>
            <w:tcW w:type="dxa" w:w="3168"/>
            <w:vAlign w:val="center"/>
          </w:tcPr>
          <w:p>
            <w:pPr>
              <w:jc w:val="left"/>
            </w:pPr>
            <w:r/>
            <w:r>
              <w:rPr>
                <w:b w:val="0"/>
                <w:color w:val="000000"/>
                <w:sz w:val="18"/>
              </w:rPr>
              <w:t>$21,777.07</w:t>
            </w:r>
          </w:p>
        </w:tc>
      </w:tr>
      <w:tr>
        <w:tc>
          <w:tcPr>
            <w:tcW w:type="dxa" w:w="1872"/>
            <w:vAlign w:val="center"/>
          </w:tcPr>
          <w:p>
            <w:pPr>
              <w:jc w:val="left"/>
            </w:pPr>
            <w:r/>
            <w:r>
              <w:rPr>
                <w:b w:val="0"/>
                <w:color w:val="000000"/>
                <w:sz w:val="18"/>
              </w:rPr>
              <w:t>Sep</w:t>
            </w:r>
          </w:p>
        </w:tc>
        <w:tc>
          <w:tcPr>
            <w:tcW w:type="dxa" w:w="3168"/>
            <w:vAlign w:val="center"/>
          </w:tcPr>
          <w:p>
            <w:pPr>
              <w:jc w:val="left"/>
            </w:pPr>
            <w:r/>
            <w:r>
              <w:rPr>
                <w:b w:val="0"/>
                <w:color w:val="000000"/>
                <w:sz w:val="18"/>
              </w:rPr>
              <w:t>$219,783.30</w:t>
            </w:r>
          </w:p>
        </w:tc>
        <w:tc>
          <w:tcPr>
            <w:tcW w:type="dxa" w:w="3168"/>
            <w:vAlign w:val="center"/>
          </w:tcPr>
          <w:p>
            <w:pPr>
              <w:jc w:val="left"/>
            </w:pPr>
            <w:r/>
            <w:r>
              <w:rPr>
                <w:b w:val="0"/>
                <w:color w:val="000000"/>
                <w:sz w:val="18"/>
              </w:rPr>
              <w:t>$25,865.93</w:t>
            </w:r>
          </w:p>
        </w:tc>
      </w:tr>
      <w:tr>
        <w:tc>
          <w:tcPr>
            <w:tcW w:type="dxa" w:w="1872"/>
            <w:vAlign w:val="center"/>
          </w:tcPr>
          <w:p>
            <w:pPr>
              <w:jc w:val="left"/>
            </w:pPr>
            <w:r/>
            <w:r>
              <w:rPr>
                <w:b w:val="0"/>
                <w:color w:val="000000"/>
                <w:sz w:val="18"/>
              </w:rPr>
              <w:t>Oct</w:t>
            </w:r>
          </w:p>
        </w:tc>
        <w:tc>
          <w:tcPr>
            <w:tcW w:type="dxa" w:w="3168"/>
            <w:vAlign w:val="center"/>
          </w:tcPr>
          <w:p>
            <w:pPr>
              <w:jc w:val="left"/>
            </w:pPr>
            <w:r/>
            <w:r>
              <w:rPr>
                <w:b w:val="0"/>
                <w:color w:val="000000"/>
                <w:sz w:val="18"/>
              </w:rPr>
              <w:t>$122,546.07</w:t>
            </w:r>
          </w:p>
        </w:tc>
        <w:tc>
          <w:tcPr>
            <w:tcW w:type="dxa" w:w="3168"/>
            <w:vAlign w:val="center"/>
          </w:tcPr>
          <w:p>
            <w:pPr>
              <w:jc w:val="left"/>
            </w:pPr>
            <w:r/>
            <w:r>
              <w:rPr>
                <w:b w:val="0"/>
                <w:color w:val="000000"/>
                <w:sz w:val="18"/>
              </w:rPr>
              <w:t>$22,508.82</w:t>
            </w:r>
          </w:p>
        </w:tc>
      </w:tr>
      <w:tr>
        <w:tc>
          <w:tcPr>
            <w:tcW w:type="dxa" w:w="1872"/>
            <w:vAlign w:val="center"/>
          </w:tcPr>
          <w:p>
            <w:pPr>
              <w:jc w:val="left"/>
            </w:pPr>
            <w:r/>
            <w:r>
              <w:rPr>
                <w:b w:val="0"/>
                <w:color w:val="000000"/>
                <w:sz w:val="18"/>
              </w:rPr>
              <w:t>Nov</w:t>
            </w:r>
          </w:p>
        </w:tc>
        <w:tc>
          <w:tcPr>
            <w:tcW w:type="dxa" w:w="3168"/>
            <w:vAlign w:val="center"/>
          </w:tcPr>
          <w:p>
            <w:pPr>
              <w:jc w:val="left"/>
            </w:pPr>
            <w:r/>
            <w:r>
              <w:rPr>
                <w:b w:val="0"/>
                <w:color w:val="000000"/>
                <w:sz w:val="18"/>
              </w:rPr>
              <w:t>$234,013.28</w:t>
            </w:r>
          </w:p>
        </w:tc>
        <w:tc>
          <w:tcPr>
            <w:tcW w:type="dxa" w:w="3168"/>
            <w:vAlign w:val="center"/>
          </w:tcPr>
          <w:p>
            <w:pPr>
              <w:jc w:val="left"/>
            </w:pPr>
            <w:r/>
            <w:r>
              <w:rPr>
                <w:b w:val="0"/>
                <w:color w:val="000000"/>
                <w:sz w:val="18"/>
              </w:rPr>
              <w:t>$25,778.40</w:t>
            </w:r>
          </w:p>
        </w:tc>
      </w:tr>
      <w:tr>
        <w:tc>
          <w:tcPr>
            <w:tcW w:type="dxa" w:w="1872"/>
            <w:vAlign w:val="center"/>
          </w:tcPr>
          <w:p>
            <w:pPr>
              <w:jc w:val="left"/>
            </w:pPr>
            <w:r/>
            <w:r>
              <w:rPr>
                <w:b w:val="0"/>
                <w:color w:val="000000"/>
                <w:sz w:val="18"/>
              </w:rPr>
              <w:t>Dec</w:t>
            </w:r>
          </w:p>
        </w:tc>
        <w:tc>
          <w:tcPr>
            <w:tcW w:type="dxa" w:w="3168"/>
            <w:vAlign w:val="center"/>
          </w:tcPr>
          <w:p>
            <w:pPr>
              <w:jc w:val="left"/>
            </w:pPr>
            <w:r/>
            <w:r>
              <w:rPr>
                <w:b w:val="0"/>
                <w:color w:val="000000"/>
                <w:sz w:val="18"/>
              </w:rPr>
              <w:t>$241,464.23</w:t>
            </w:r>
          </w:p>
        </w:tc>
        <w:tc>
          <w:tcPr>
            <w:tcW w:type="dxa" w:w="3168"/>
            <w:vAlign w:val="center"/>
          </w:tcPr>
          <w:p>
            <w:pPr>
              <w:jc w:val="left"/>
            </w:pPr>
            <w:r/>
            <w:r>
              <w:rPr>
                <w:b w:val="0"/>
                <w:color w:val="000000"/>
                <w:sz w:val="18"/>
              </w:rPr>
              <w:t>$34,885.83</w:t>
            </w:r>
          </w:p>
        </w:tc>
      </w:tr>
    </w:tbl>
    <w:p/>
    <w:p>
      <w:pPr>
        <w:pStyle w:val="Callout"/>
      </w:pPr>
      <w:r>
        <w:t>Interpretation: December is the highest-sales month at $241,464.23, while February is the lowest-sales month at $59,640.16. The pattern suggests meaningful month-to-month variation that can be investigated for seasonal, promotional, demand, or operational drivers.</w:t>
      </w:r>
    </w:p>
    <w:p>
      <w:pPr>
        <w:pStyle w:val="Heading1"/>
      </w:pPr>
      <w:r>
        <w:t>10. Customer Performance</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888"/>
            <w:vAlign w:val="center"/>
            <w:shd w:fill="1F4E78"/>
          </w:tcPr>
          <w:p>
            <w:pPr>
              <w:jc w:val="left"/>
            </w:pPr>
            <w:r/>
            <w:r>
              <w:rPr>
                <w:b/>
                <w:color w:val="FFFFFF"/>
                <w:sz w:val="18"/>
              </w:rPr>
              <w:t>Customer</w:t>
            </w:r>
          </w:p>
        </w:tc>
        <w:tc>
          <w:tcPr>
            <w:tcW w:type="dxa" w:w="2592"/>
            <w:vAlign w:val="center"/>
            <w:shd w:fill="1F4E78"/>
          </w:tcPr>
          <w:p>
            <w:pPr>
              <w:jc w:val="left"/>
            </w:pPr>
            <w:r/>
            <w:r>
              <w:rPr>
                <w:b/>
                <w:color w:val="FFFFFF"/>
                <w:sz w:val="18"/>
              </w:rPr>
              <w:t>Sales</w:t>
            </w:r>
          </w:p>
        </w:tc>
        <w:tc>
          <w:tcPr>
            <w:tcW w:type="dxa" w:w="2592"/>
            <w:vAlign w:val="center"/>
            <w:shd w:fill="1F4E78"/>
          </w:tcPr>
          <w:p>
            <w:pPr>
              <w:jc w:val="left"/>
            </w:pPr>
            <w:r/>
            <w:r>
              <w:rPr>
                <w:b/>
                <w:color w:val="FFFFFF"/>
                <w:sz w:val="18"/>
              </w:rPr>
              <w:t>Profit</w:t>
            </w:r>
          </w:p>
        </w:tc>
      </w:tr>
      <w:tr>
        <w:tc>
          <w:tcPr>
            <w:tcW w:type="dxa" w:w="3888"/>
            <w:vAlign w:val="center"/>
          </w:tcPr>
          <w:p>
            <w:pPr>
              <w:jc w:val="left"/>
            </w:pPr>
            <w:r/>
            <w:r>
              <w:rPr>
                <w:b w:val="0"/>
                <w:color w:val="000000"/>
                <w:sz w:val="18"/>
              </w:rPr>
              <w:t>Tamara Chand</w:t>
            </w:r>
          </w:p>
        </w:tc>
        <w:tc>
          <w:tcPr>
            <w:tcW w:type="dxa" w:w="2592"/>
            <w:vAlign w:val="center"/>
          </w:tcPr>
          <w:p>
            <w:pPr>
              <w:jc w:val="left"/>
            </w:pPr>
            <w:r/>
            <w:r>
              <w:rPr>
                <w:b w:val="0"/>
                <w:color w:val="000000"/>
                <w:sz w:val="18"/>
              </w:rPr>
              <w:t>$19,052.22</w:t>
            </w:r>
          </w:p>
        </w:tc>
        <w:tc>
          <w:tcPr>
            <w:tcW w:type="dxa" w:w="2592"/>
            <w:vAlign w:val="center"/>
          </w:tcPr>
          <w:p>
            <w:pPr>
              <w:jc w:val="left"/>
            </w:pPr>
            <w:r/>
            <w:r>
              <w:rPr>
                <w:b w:val="0"/>
                <w:color w:val="000000"/>
                <w:sz w:val="18"/>
              </w:rPr>
              <w:t>$8,981.32</w:t>
            </w:r>
          </w:p>
        </w:tc>
      </w:tr>
      <w:tr>
        <w:tc>
          <w:tcPr>
            <w:tcW w:type="dxa" w:w="3888"/>
            <w:vAlign w:val="center"/>
          </w:tcPr>
          <w:p>
            <w:pPr>
              <w:jc w:val="left"/>
            </w:pPr>
            <w:r/>
            <w:r>
              <w:rPr>
                <w:b w:val="0"/>
                <w:color w:val="000000"/>
                <w:sz w:val="18"/>
              </w:rPr>
              <w:t>Raymond Buch</w:t>
            </w:r>
          </w:p>
        </w:tc>
        <w:tc>
          <w:tcPr>
            <w:tcW w:type="dxa" w:w="2592"/>
            <w:vAlign w:val="center"/>
          </w:tcPr>
          <w:p>
            <w:pPr>
              <w:jc w:val="left"/>
            </w:pPr>
            <w:r/>
            <w:r>
              <w:rPr>
                <w:b w:val="0"/>
                <w:color w:val="000000"/>
                <w:sz w:val="18"/>
              </w:rPr>
              <w:t>$14,986.78</w:t>
            </w:r>
          </w:p>
        </w:tc>
        <w:tc>
          <w:tcPr>
            <w:tcW w:type="dxa" w:w="2592"/>
            <w:vAlign w:val="center"/>
          </w:tcPr>
          <w:p>
            <w:pPr>
              <w:jc w:val="left"/>
            </w:pPr>
            <w:r/>
            <w:r>
              <w:rPr>
                <w:b w:val="0"/>
                <w:color w:val="000000"/>
                <w:sz w:val="18"/>
              </w:rPr>
              <w:t>$6,939.17</w:t>
            </w:r>
          </w:p>
        </w:tc>
      </w:tr>
      <w:tr>
        <w:tc>
          <w:tcPr>
            <w:tcW w:type="dxa" w:w="3888"/>
            <w:vAlign w:val="center"/>
          </w:tcPr>
          <w:p>
            <w:pPr>
              <w:jc w:val="left"/>
            </w:pPr>
            <w:r/>
            <w:r>
              <w:rPr>
                <w:b w:val="0"/>
                <w:color w:val="000000"/>
                <w:sz w:val="18"/>
              </w:rPr>
              <w:t>Sanjit Chand</w:t>
            </w:r>
          </w:p>
        </w:tc>
        <w:tc>
          <w:tcPr>
            <w:tcW w:type="dxa" w:w="2592"/>
            <w:vAlign w:val="center"/>
          </w:tcPr>
          <w:p>
            <w:pPr>
              <w:jc w:val="left"/>
            </w:pPr>
            <w:r/>
            <w:r>
              <w:rPr>
                <w:b w:val="0"/>
                <w:color w:val="000000"/>
                <w:sz w:val="18"/>
              </w:rPr>
              <w:t>$14,142.34</w:t>
            </w:r>
          </w:p>
        </w:tc>
        <w:tc>
          <w:tcPr>
            <w:tcW w:type="dxa" w:w="2592"/>
            <w:vAlign w:val="center"/>
          </w:tcPr>
          <w:p>
            <w:pPr>
              <w:jc w:val="left"/>
            </w:pPr>
            <w:r/>
            <w:r>
              <w:rPr>
                <w:b w:val="0"/>
                <w:color w:val="000000"/>
                <w:sz w:val="18"/>
              </w:rPr>
              <w:t>$5,757.42</w:t>
            </w:r>
          </w:p>
        </w:tc>
      </w:tr>
      <w:tr>
        <w:tc>
          <w:tcPr>
            <w:tcW w:type="dxa" w:w="3888"/>
            <w:vAlign w:val="center"/>
          </w:tcPr>
          <w:p>
            <w:pPr>
              <w:jc w:val="left"/>
            </w:pPr>
            <w:r/>
            <w:r>
              <w:rPr>
                <w:b w:val="0"/>
                <w:color w:val="000000"/>
                <w:sz w:val="18"/>
              </w:rPr>
              <w:t>Adrian Barton</w:t>
            </w:r>
          </w:p>
        </w:tc>
        <w:tc>
          <w:tcPr>
            <w:tcW w:type="dxa" w:w="2592"/>
            <w:vAlign w:val="center"/>
          </w:tcPr>
          <w:p>
            <w:pPr>
              <w:jc w:val="left"/>
            </w:pPr>
            <w:r/>
            <w:r>
              <w:rPr>
                <w:b w:val="0"/>
                <w:color w:val="000000"/>
                <w:sz w:val="18"/>
              </w:rPr>
              <w:t>$13,037.43</w:t>
            </w:r>
          </w:p>
        </w:tc>
        <w:tc>
          <w:tcPr>
            <w:tcW w:type="dxa" w:w="2592"/>
            <w:vAlign w:val="center"/>
          </w:tcPr>
          <w:p>
            <w:pPr>
              <w:jc w:val="left"/>
            </w:pPr>
            <w:r/>
            <w:r>
              <w:rPr>
                <w:b w:val="0"/>
                <w:color w:val="000000"/>
                <w:sz w:val="18"/>
              </w:rPr>
              <w:t>$5,202.84</w:t>
            </w:r>
          </w:p>
        </w:tc>
      </w:tr>
      <w:tr>
        <w:tc>
          <w:tcPr>
            <w:tcW w:type="dxa" w:w="3888"/>
            <w:vAlign w:val="center"/>
          </w:tcPr>
          <w:p>
            <w:pPr>
              <w:jc w:val="left"/>
            </w:pPr>
            <w:r/>
            <w:r>
              <w:rPr>
                <w:b w:val="0"/>
                <w:color w:val="000000"/>
                <w:sz w:val="18"/>
              </w:rPr>
              <w:t>Martinez</w:t>
            </w:r>
          </w:p>
        </w:tc>
        <w:tc>
          <w:tcPr>
            <w:tcW w:type="dxa" w:w="2592"/>
            <w:vAlign w:val="center"/>
          </w:tcPr>
          <w:p>
            <w:pPr>
              <w:jc w:val="left"/>
            </w:pPr>
            <w:r/>
            <w:r>
              <w:rPr>
                <w:b w:val="0"/>
                <w:color w:val="000000"/>
                <w:sz w:val="18"/>
              </w:rPr>
              <w:t>$8,713.65</w:t>
            </w:r>
          </w:p>
        </w:tc>
        <w:tc>
          <w:tcPr>
            <w:tcW w:type="dxa" w:w="2592"/>
            <w:vAlign w:val="center"/>
          </w:tcPr>
          <w:p>
            <w:pPr>
              <w:jc w:val="left"/>
            </w:pPr>
            <w:r/>
            <w:r>
              <w:rPr>
                <w:b w:val="0"/>
                <w:color w:val="000000"/>
                <w:sz w:val="18"/>
              </w:rPr>
              <w:t>$3,883.09</w:t>
            </w:r>
          </w:p>
        </w:tc>
      </w:tr>
      <w:tr>
        <w:tc>
          <w:tcPr>
            <w:tcW w:type="dxa" w:w="3888"/>
            <w:vAlign w:val="center"/>
          </w:tcPr>
          <w:p>
            <w:pPr>
              <w:jc w:val="left"/>
            </w:pPr>
            <w:r/>
            <w:r>
              <w:rPr>
                <w:b w:val="0"/>
                <w:color w:val="000000"/>
                <w:sz w:val="18"/>
              </w:rPr>
              <w:t>Keith Dawkins</w:t>
            </w:r>
          </w:p>
        </w:tc>
        <w:tc>
          <w:tcPr>
            <w:tcW w:type="dxa" w:w="2592"/>
            <w:vAlign w:val="center"/>
          </w:tcPr>
          <w:p>
            <w:pPr>
              <w:jc w:val="left"/>
            </w:pPr>
            <w:r/>
            <w:r>
              <w:rPr>
                <w:b w:val="0"/>
                <w:color w:val="000000"/>
                <w:sz w:val="18"/>
              </w:rPr>
              <w:t>$8,081.37</w:t>
            </w:r>
          </w:p>
        </w:tc>
        <w:tc>
          <w:tcPr>
            <w:tcW w:type="dxa" w:w="2592"/>
            <w:vAlign w:val="center"/>
          </w:tcPr>
          <w:p>
            <w:pPr>
              <w:jc w:val="left"/>
            </w:pPr>
            <w:r/>
            <w:r>
              <w:rPr>
                <w:b w:val="0"/>
                <w:color w:val="000000"/>
                <w:sz w:val="18"/>
              </w:rPr>
              <w:t>$3,014.61</w:t>
            </w:r>
          </w:p>
        </w:tc>
      </w:tr>
      <w:tr>
        <w:tc>
          <w:tcPr>
            <w:tcW w:type="dxa" w:w="3888"/>
            <w:vAlign w:val="center"/>
          </w:tcPr>
          <w:p>
            <w:pPr>
              <w:jc w:val="left"/>
            </w:pPr>
            <w:r/>
            <w:r>
              <w:rPr>
                <w:b w:val="0"/>
                <w:color w:val="000000"/>
                <w:sz w:val="18"/>
              </w:rPr>
              <w:t>Andy Reiter</w:t>
            </w:r>
          </w:p>
        </w:tc>
        <w:tc>
          <w:tcPr>
            <w:tcW w:type="dxa" w:w="2592"/>
            <w:vAlign w:val="center"/>
          </w:tcPr>
          <w:p>
            <w:pPr>
              <w:jc w:val="left"/>
            </w:pPr>
            <w:r/>
            <w:r>
              <w:rPr>
                <w:b w:val="0"/>
                <w:color w:val="000000"/>
                <w:sz w:val="18"/>
              </w:rPr>
              <w:t>$6,590.57</w:t>
            </w:r>
          </w:p>
        </w:tc>
        <w:tc>
          <w:tcPr>
            <w:tcW w:type="dxa" w:w="2592"/>
            <w:vAlign w:val="center"/>
          </w:tcPr>
          <w:p>
            <w:pPr>
              <w:jc w:val="left"/>
            </w:pPr>
            <w:r/>
            <w:r>
              <w:rPr>
                <w:b w:val="0"/>
                <w:color w:val="000000"/>
                <w:sz w:val="18"/>
              </w:rPr>
              <w:t>$2,879.02</w:t>
            </w:r>
          </w:p>
        </w:tc>
      </w:tr>
      <w:tr>
        <w:tc>
          <w:tcPr>
            <w:tcW w:type="dxa" w:w="3888"/>
            <w:vAlign w:val="center"/>
          </w:tcPr>
          <w:p>
            <w:pPr>
              <w:jc w:val="left"/>
            </w:pPr>
            <w:r/>
            <w:r>
              <w:rPr>
                <w:b w:val="0"/>
                <w:color w:val="000000"/>
                <w:sz w:val="18"/>
              </w:rPr>
              <w:t>Daniel Raglin</w:t>
            </w:r>
          </w:p>
        </w:tc>
        <w:tc>
          <w:tcPr>
            <w:tcW w:type="dxa" w:w="2592"/>
            <w:vAlign w:val="center"/>
          </w:tcPr>
          <w:p>
            <w:pPr>
              <w:jc w:val="left"/>
            </w:pPr>
            <w:r/>
            <w:r>
              <w:rPr>
                <w:b w:val="0"/>
                <w:color w:val="000000"/>
                <w:sz w:val="18"/>
              </w:rPr>
              <w:t>$8,339.35</w:t>
            </w:r>
          </w:p>
        </w:tc>
        <w:tc>
          <w:tcPr>
            <w:tcW w:type="dxa" w:w="2592"/>
            <w:vAlign w:val="center"/>
          </w:tcPr>
          <w:p>
            <w:pPr>
              <w:jc w:val="left"/>
            </w:pPr>
            <w:r/>
            <w:r>
              <w:rPr>
                <w:b w:val="0"/>
                <w:color w:val="000000"/>
                <w:sz w:val="18"/>
              </w:rPr>
              <w:t>$2,876.76</w:t>
            </w:r>
          </w:p>
        </w:tc>
      </w:tr>
      <w:tr>
        <w:tc>
          <w:tcPr>
            <w:tcW w:type="dxa" w:w="3888"/>
            <w:vAlign w:val="center"/>
          </w:tcPr>
          <w:p>
            <w:pPr>
              <w:jc w:val="left"/>
            </w:pPr>
            <w:r/>
            <w:r>
              <w:rPr>
                <w:b w:val="0"/>
                <w:color w:val="000000"/>
                <w:sz w:val="18"/>
              </w:rPr>
              <w:t>Tom Boeckenhauer</w:t>
            </w:r>
          </w:p>
        </w:tc>
        <w:tc>
          <w:tcPr>
            <w:tcW w:type="dxa" w:w="2592"/>
            <w:vAlign w:val="center"/>
          </w:tcPr>
          <w:p>
            <w:pPr>
              <w:jc w:val="left"/>
            </w:pPr>
            <w:r/>
            <w:r>
              <w:rPr>
                <w:b w:val="0"/>
                <w:color w:val="000000"/>
                <w:sz w:val="18"/>
              </w:rPr>
              <w:t>$9,133.99</w:t>
            </w:r>
          </w:p>
        </w:tc>
        <w:tc>
          <w:tcPr>
            <w:tcW w:type="dxa" w:w="2592"/>
            <w:vAlign w:val="center"/>
          </w:tcPr>
          <w:p>
            <w:pPr>
              <w:jc w:val="left"/>
            </w:pPr>
            <w:r/>
            <w:r>
              <w:rPr>
                <w:b w:val="0"/>
                <w:color w:val="000000"/>
                <w:sz w:val="18"/>
              </w:rPr>
              <w:t>$2,798.37</w:t>
            </w:r>
          </w:p>
        </w:tc>
      </w:tr>
      <w:tr>
        <w:tc>
          <w:tcPr>
            <w:tcW w:type="dxa" w:w="3888"/>
            <w:vAlign w:val="center"/>
          </w:tcPr>
          <w:p>
            <w:pPr>
              <w:jc w:val="left"/>
            </w:pPr>
            <w:r/>
            <w:r>
              <w:rPr>
                <w:b w:val="0"/>
                <w:color w:val="000000"/>
                <w:sz w:val="18"/>
              </w:rPr>
              <w:t>Nathan Mautz</w:t>
            </w:r>
          </w:p>
        </w:tc>
        <w:tc>
          <w:tcPr>
            <w:tcW w:type="dxa" w:w="2592"/>
            <w:vAlign w:val="center"/>
          </w:tcPr>
          <w:p>
            <w:pPr>
              <w:jc w:val="left"/>
            </w:pPr>
            <w:r/>
            <w:r>
              <w:rPr>
                <w:b w:val="0"/>
                <w:color w:val="000000"/>
                <w:sz w:val="18"/>
              </w:rPr>
              <w:t>$6,459.34</w:t>
            </w:r>
          </w:p>
        </w:tc>
        <w:tc>
          <w:tcPr>
            <w:tcW w:type="dxa" w:w="2592"/>
            <w:vAlign w:val="center"/>
          </w:tcPr>
          <w:p>
            <w:pPr>
              <w:jc w:val="left"/>
            </w:pPr>
            <w:r/>
            <w:r>
              <w:rPr>
                <w:b w:val="0"/>
                <w:color w:val="000000"/>
                <w:sz w:val="18"/>
              </w:rPr>
              <w:t>$2,751.69</w:t>
            </w:r>
          </w:p>
        </w:tc>
      </w:tr>
    </w:tbl>
    <w:p/>
    <w:p>
      <w:pPr>
        <w:pStyle w:val="Callout"/>
      </w:pPr>
      <w:r>
        <w:t>Interpretation: The Top 5 customer view on the dashboard highlights high-profit customers. Tamara Chand is the highest-profit customer among the displayed records with $8,981.32. This type of analysis can support customer retention, prioritization, and relationship-management decisions.</w:t>
      </w:r>
    </w:p>
    <w:p>
      <w:pPr>
        <w:pStyle w:val="Heading1"/>
      </w:pPr>
      <w:r>
        <w:t>11. State-wise Performance</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456"/>
            <w:vAlign w:val="center"/>
            <w:shd w:fill="1F4E78"/>
          </w:tcPr>
          <w:p>
            <w:pPr>
              <w:jc w:val="left"/>
            </w:pPr>
            <w:r/>
            <w:r>
              <w:rPr>
                <w:b/>
                <w:color w:val="FFFFFF"/>
                <w:sz w:val="18"/>
              </w:rPr>
              <w:t>State</w:t>
            </w:r>
          </w:p>
        </w:tc>
        <w:tc>
          <w:tcPr>
            <w:tcW w:type="dxa" w:w="2736"/>
            <w:vAlign w:val="center"/>
            <w:shd w:fill="1F4E78"/>
          </w:tcPr>
          <w:p>
            <w:pPr>
              <w:jc w:val="left"/>
            </w:pPr>
            <w:r/>
            <w:r>
              <w:rPr>
                <w:b/>
                <w:color w:val="FFFFFF"/>
                <w:sz w:val="18"/>
              </w:rPr>
              <w:t>Sales</w:t>
            </w:r>
          </w:p>
        </w:tc>
        <w:tc>
          <w:tcPr>
            <w:tcW w:type="dxa" w:w="2736"/>
            <w:vAlign w:val="center"/>
            <w:shd w:fill="1F4E78"/>
          </w:tcPr>
          <w:p>
            <w:pPr>
              <w:jc w:val="left"/>
            </w:pPr>
            <w:r/>
            <w:r>
              <w:rPr>
                <w:b/>
                <w:color w:val="FFFFFF"/>
                <w:sz w:val="18"/>
              </w:rPr>
              <w:t>Profit</w:t>
            </w:r>
          </w:p>
        </w:tc>
      </w:tr>
      <w:tr>
        <w:tc>
          <w:tcPr>
            <w:tcW w:type="dxa" w:w="3456"/>
            <w:vAlign w:val="center"/>
          </w:tcPr>
          <w:p>
            <w:pPr>
              <w:jc w:val="left"/>
            </w:pPr>
            <w:r/>
            <w:r>
              <w:rPr>
                <w:b w:val="0"/>
                <w:color w:val="000000"/>
                <w:sz w:val="18"/>
              </w:rPr>
              <w:t>California</w:t>
            </w:r>
          </w:p>
        </w:tc>
        <w:tc>
          <w:tcPr>
            <w:tcW w:type="dxa" w:w="2736"/>
            <w:vAlign w:val="center"/>
          </w:tcPr>
          <w:p>
            <w:pPr>
              <w:jc w:val="left"/>
            </w:pPr>
            <w:r/>
            <w:r>
              <w:rPr>
                <w:b w:val="0"/>
                <w:color w:val="000000"/>
                <w:sz w:val="18"/>
              </w:rPr>
              <w:t>$390,145.54</w:t>
            </w:r>
          </w:p>
        </w:tc>
        <w:tc>
          <w:tcPr>
            <w:tcW w:type="dxa" w:w="2736"/>
            <w:vAlign w:val="center"/>
          </w:tcPr>
          <w:p>
            <w:pPr>
              <w:jc w:val="left"/>
            </w:pPr>
            <w:r/>
            <w:r>
              <w:rPr>
                <w:b w:val="0"/>
                <w:color w:val="000000"/>
                <w:sz w:val="18"/>
              </w:rPr>
              <w:t>$63,144.57</w:t>
            </w:r>
          </w:p>
        </w:tc>
      </w:tr>
      <w:tr>
        <w:tc>
          <w:tcPr>
            <w:tcW w:type="dxa" w:w="3456"/>
            <w:vAlign w:val="center"/>
          </w:tcPr>
          <w:p>
            <w:pPr>
              <w:jc w:val="left"/>
            </w:pPr>
            <w:r/>
            <w:r>
              <w:rPr>
                <w:b w:val="0"/>
                <w:color w:val="000000"/>
                <w:sz w:val="18"/>
              </w:rPr>
              <w:t>New York</w:t>
            </w:r>
          </w:p>
        </w:tc>
        <w:tc>
          <w:tcPr>
            <w:tcW w:type="dxa" w:w="2736"/>
            <w:vAlign w:val="center"/>
          </w:tcPr>
          <w:p>
            <w:pPr>
              <w:jc w:val="left"/>
            </w:pPr>
            <w:r/>
            <w:r>
              <w:rPr>
                <w:b w:val="0"/>
                <w:color w:val="000000"/>
                <w:sz w:val="18"/>
              </w:rPr>
              <w:t>$246,517.74</w:t>
            </w:r>
          </w:p>
        </w:tc>
        <w:tc>
          <w:tcPr>
            <w:tcW w:type="dxa" w:w="2736"/>
            <w:vAlign w:val="center"/>
          </w:tcPr>
          <w:p>
            <w:pPr>
              <w:jc w:val="left"/>
            </w:pPr>
            <w:r/>
            <w:r>
              <w:rPr>
                <w:b w:val="0"/>
                <w:color w:val="000000"/>
                <w:sz w:val="18"/>
              </w:rPr>
              <w:t>$57,223.84</w:t>
            </w:r>
          </w:p>
        </w:tc>
      </w:tr>
      <w:tr>
        <w:tc>
          <w:tcPr>
            <w:tcW w:type="dxa" w:w="3456"/>
            <w:vAlign w:val="center"/>
          </w:tcPr>
          <w:p>
            <w:pPr>
              <w:jc w:val="left"/>
            </w:pPr>
            <w:r/>
            <w:r>
              <w:rPr>
                <w:b w:val="0"/>
                <w:color w:val="000000"/>
                <w:sz w:val="18"/>
              </w:rPr>
              <w:t>Texas</w:t>
            </w:r>
          </w:p>
        </w:tc>
        <w:tc>
          <w:tcPr>
            <w:tcW w:type="dxa" w:w="2736"/>
            <w:vAlign w:val="center"/>
          </w:tcPr>
          <w:p>
            <w:pPr>
              <w:jc w:val="left"/>
            </w:pPr>
            <w:r/>
            <w:r>
              <w:rPr>
                <w:b w:val="0"/>
                <w:color w:val="000000"/>
                <w:sz w:val="18"/>
              </w:rPr>
              <w:t>$151,436.60</w:t>
            </w:r>
          </w:p>
        </w:tc>
        <w:tc>
          <w:tcPr>
            <w:tcW w:type="dxa" w:w="2736"/>
            <w:vAlign w:val="center"/>
          </w:tcPr>
          <w:p>
            <w:pPr>
              <w:jc w:val="left"/>
            </w:pPr>
            <w:r/>
            <w:r>
              <w:rPr>
                <w:b w:val="0"/>
                <w:color w:val="000000"/>
                <w:sz w:val="18"/>
              </w:rPr>
              <w:t>$-21,067.53</w:t>
            </w:r>
          </w:p>
        </w:tc>
      </w:tr>
      <w:tr>
        <w:tc>
          <w:tcPr>
            <w:tcW w:type="dxa" w:w="3456"/>
            <w:vAlign w:val="center"/>
          </w:tcPr>
          <w:p>
            <w:pPr>
              <w:jc w:val="left"/>
            </w:pPr>
            <w:r/>
            <w:r>
              <w:rPr>
                <w:b w:val="0"/>
                <w:color w:val="000000"/>
                <w:sz w:val="18"/>
              </w:rPr>
              <w:t>Washington</w:t>
            </w:r>
          </w:p>
        </w:tc>
        <w:tc>
          <w:tcPr>
            <w:tcW w:type="dxa" w:w="2736"/>
            <w:vAlign w:val="center"/>
          </w:tcPr>
          <w:p>
            <w:pPr>
              <w:jc w:val="left"/>
            </w:pPr>
            <w:r/>
            <w:r>
              <w:rPr>
                <w:b w:val="0"/>
                <w:color w:val="000000"/>
                <w:sz w:val="18"/>
              </w:rPr>
              <w:t>$117,661.47</w:t>
            </w:r>
          </w:p>
        </w:tc>
        <w:tc>
          <w:tcPr>
            <w:tcW w:type="dxa" w:w="2736"/>
            <w:vAlign w:val="center"/>
          </w:tcPr>
          <w:p>
            <w:pPr>
              <w:jc w:val="left"/>
            </w:pPr>
            <w:r/>
            <w:r>
              <w:rPr>
                <w:b w:val="0"/>
                <w:color w:val="000000"/>
                <w:sz w:val="18"/>
              </w:rPr>
              <w:t>$30,236.17</w:t>
            </w:r>
          </w:p>
        </w:tc>
      </w:tr>
      <w:tr>
        <w:tc>
          <w:tcPr>
            <w:tcW w:type="dxa" w:w="3456"/>
            <w:vAlign w:val="center"/>
          </w:tcPr>
          <w:p>
            <w:pPr>
              <w:jc w:val="left"/>
            </w:pPr>
            <w:r/>
            <w:r>
              <w:rPr>
                <w:b w:val="0"/>
                <w:color w:val="000000"/>
                <w:sz w:val="18"/>
              </w:rPr>
              <w:t>Pennsylvania</w:t>
            </w:r>
          </w:p>
        </w:tc>
        <w:tc>
          <w:tcPr>
            <w:tcW w:type="dxa" w:w="2736"/>
            <w:vAlign w:val="center"/>
          </w:tcPr>
          <w:p>
            <w:pPr>
              <w:jc w:val="left"/>
            </w:pPr>
            <w:r/>
            <w:r>
              <w:rPr>
                <w:b w:val="0"/>
                <w:color w:val="000000"/>
                <w:sz w:val="18"/>
              </w:rPr>
              <w:t>$95,494.86</w:t>
            </w:r>
          </w:p>
        </w:tc>
        <w:tc>
          <w:tcPr>
            <w:tcW w:type="dxa" w:w="2736"/>
            <w:vAlign w:val="center"/>
          </w:tcPr>
          <w:p>
            <w:pPr>
              <w:jc w:val="left"/>
            </w:pPr>
            <w:r/>
            <w:r>
              <w:rPr>
                <w:b w:val="0"/>
                <w:color w:val="000000"/>
                <w:sz w:val="18"/>
              </w:rPr>
              <w:t>$-11,853.20</w:t>
            </w:r>
          </w:p>
        </w:tc>
      </w:tr>
      <w:tr>
        <w:tc>
          <w:tcPr>
            <w:tcW w:type="dxa" w:w="3456"/>
            <w:vAlign w:val="center"/>
          </w:tcPr>
          <w:p>
            <w:pPr>
              <w:jc w:val="left"/>
            </w:pPr>
            <w:r/>
            <w:r>
              <w:rPr>
                <w:b w:val="0"/>
                <w:color w:val="000000"/>
                <w:sz w:val="18"/>
              </w:rPr>
              <w:t>Florida</w:t>
            </w:r>
          </w:p>
        </w:tc>
        <w:tc>
          <w:tcPr>
            <w:tcW w:type="dxa" w:w="2736"/>
            <w:vAlign w:val="center"/>
          </w:tcPr>
          <w:p>
            <w:pPr>
              <w:jc w:val="left"/>
            </w:pPr>
            <w:r/>
            <w:r>
              <w:rPr>
                <w:b w:val="0"/>
                <w:color w:val="000000"/>
                <w:sz w:val="18"/>
              </w:rPr>
              <w:t>$79,303.61</w:t>
            </w:r>
          </w:p>
        </w:tc>
        <w:tc>
          <w:tcPr>
            <w:tcW w:type="dxa" w:w="2736"/>
            <w:vAlign w:val="center"/>
          </w:tcPr>
          <w:p>
            <w:pPr>
              <w:jc w:val="left"/>
            </w:pPr>
            <w:r/>
            <w:r>
              <w:rPr>
                <w:b w:val="0"/>
                <w:color w:val="000000"/>
                <w:sz w:val="18"/>
              </w:rPr>
              <w:t>$-3,870.14</w:t>
            </w:r>
          </w:p>
        </w:tc>
      </w:tr>
      <w:tr>
        <w:tc>
          <w:tcPr>
            <w:tcW w:type="dxa" w:w="3456"/>
            <w:vAlign w:val="center"/>
          </w:tcPr>
          <w:p>
            <w:pPr>
              <w:jc w:val="left"/>
            </w:pPr>
            <w:r/>
            <w:r>
              <w:rPr>
                <w:b w:val="0"/>
                <w:color w:val="000000"/>
                <w:sz w:val="18"/>
              </w:rPr>
              <w:t>Illinois</w:t>
            </w:r>
          </w:p>
        </w:tc>
        <w:tc>
          <w:tcPr>
            <w:tcW w:type="dxa" w:w="2736"/>
            <w:vAlign w:val="center"/>
          </w:tcPr>
          <w:p>
            <w:pPr>
              <w:jc w:val="left"/>
            </w:pPr>
            <w:r/>
            <w:r>
              <w:rPr>
                <w:b w:val="0"/>
                <w:color w:val="000000"/>
                <w:sz w:val="18"/>
              </w:rPr>
              <w:t>$68,565.03</w:t>
            </w:r>
          </w:p>
        </w:tc>
        <w:tc>
          <w:tcPr>
            <w:tcW w:type="dxa" w:w="2736"/>
            <w:vAlign w:val="center"/>
          </w:tcPr>
          <w:p>
            <w:pPr>
              <w:jc w:val="left"/>
            </w:pPr>
            <w:r/>
            <w:r>
              <w:rPr>
                <w:b w:val="0"/>
                <w:color w:val="000000"/>
                <w:sz w:val="18"/>
              </w:rPr>
              <w:t>$-6,457.43</w:t>
            </w:r>
          </w:p>
        </w:tc>
      </w:tr>
      <w:tr>
        <w:tc>
          <w:tcPr>
            <w:tcW w:type="dxa" w:w="3456"/>
            <w:vAlign w:val="center"/>
          </w:tcPr>
          <w:p>
            <w:pPr>
              <w:jc w:val="left"/>
            </w:pPr>
            <w:r/>
            <w:r>
              <w:rPr>
                <w:b w:val="0"/>
                <w:color w:val="000000"/>
                <w:sz w:val="18"/>
              </w:rPr>
              <w:t>Virginia</w:t>
            </w:r>
          </w:p>
        </w:tc>
        <w:tc>
          <w:tcPr>
            <w:tcW w:type="dxa" w:w="2736"/>
            <w:vAlign w:val="center"/>
          </w:tcPr>
          <w:p>
            <w:pPr>
              <w:jc w:val="left"/>
            </w:pPr>
            <w:r/>
            <w:r>
              <w:rPr>
                <w:b w:val="0"/>
                <w:color w:val="000000"/>
                <w:sz w:val="18"/>
              </w:rPr>
              <w:t>$67,825.95</w:t>
            </w:r>
          </w:p>
        </w:tc>
        <w:tc>
          <w:tcPr>
            <w:tcW w:type="dxa" w:w="2736"/>
            <w:vAlign w:val="center"/>
          </w:tcPr>
          <w:p>
            <w:pPr>
              <w:jc w:val="left"/>
            </w:pPr>
            <w:r/>
            <w:r>
              <w:rPr>
                <w:b w:val="0"/>
                <w:color w:val="000000"/>
                <w:sz w:val="18"/>
              </w:rPr>
              <w:t>$17,879.86</w:t>
            </w:r>
          </w:p>
        </w:tc>
      </w:tr>
      <w:tr>
        <w:tc>
          <w:tcPr>
            <w:tcW w:type="dxa" w:w="3456"/>
            <w:vAlign w:val="center"/>
          </w:tcPr>
          <w:p>
            <w:pPr>
              <w:jc w:val="left"/>
            </w:pPr>
            <w:r/>
            <w:r>
              <w:rPr>
                <w:b w:val="0"/>
                <w:color w:val="000000"/>
                <w:sz w:val="18"/>
              </w:rPr>
              <w:t>Michigan</w:t>
            </w:r>
          </w:p>
        </w:tc>
        <w:tc>
          <w:tcPr>
            <w:tcW w:type="dxa" w:w="2736"/>
            <w:vAlign w:val="center"/>
          </w:tcPr>
          <w:p>
            <w:pPr>
              <w:jc w:val="left"/>
            </w:pPr>
            <w:r/>
            <w:r>
              <w:rPr>
                <w:b w:val="0"/>
                <w:color w:val="000000"/>
                <w:sz w:val="18"/>
              </w:rPr>
              <w:t>$66,559.09</w:t>
            </w:r>
          </w:p>
        </w:tc>
        <w:tc>
          <w:tcPr>
            <w:tcW w:type="dxa" w:w="2736"/>
            <w:vAlign w:val="center"/>
          </w:tcPr>
          <w:p>
            <w:pPr>
              <w:jc w:val="left"/>
            </w:pPr>
            <w:r/>
            <w:r>
              <w:rPr>
                <w:b w:val="0"/>
                <w:color w:val="000000"/>
                <w:sz w:val="18"/>
              </w:rPr>
              <w:t>$21,580.99</w:t>
            </w:r>
          </w:p>
        </w:tc>
      </w:tr>
      <w:tr>
        <w:tc>
          <w:tcPr>
            <w:tcW w:type="dxa" w:w="3456"/>
            <w:vAlign w:val="center"/>
          </w:tcPr>
          <w:p>
            <w:pPr>
              <w:jc w:val="left"/>
            </w:pPr>
            <w:r/>
            <w:r>
              <w:rPr>
                <w:b w:val="0"/>
                <w:color w:val="000000"/>
                <w:sz w:val="18"/>
              </w:rPr>
              <w:t>Ohio</w:t>
            </w:r>
          </w:p>
        </w:tc>
        <w:tc>
          <w:tcPr>
            <w:tcW w:type="dxa" w:w="2736"/>
            <w:vAlign w:val="center"/>
          </w:tcPr>
          <w:p>
            <w:pPr>
              <w:jc w:val="left"/>
            </w:pPr>
            <w:r/>
            <w:r>
              <w:rPr>
                <w:b w:val="0"/>
                <w:color w:val="000000"/>
                <w:sz w:val="18"/>
              </w:rPr>
              <w:t>$66,407.17</w:t>
            </w:r>
          </w:p>
        </w:tc>
        <w:tc>
          <w:tcPr>
            <w:tcW w:type="dxa" w:w="2736"/>
            <w:vAlign w:val="center"/>
          </w:tcPr>
          <w:p>
            <w:pPr>
              <w:jc w:val="left"/>
            </w:pPr>
            <w:r/>
            <w:r>
              <w:rPr>
                <w:b w:val="0"/>
                <w:color w:val="000000"/>
                <w:sz w:val="18"/>
              </w:rPr>
              <w:t>$-15,903.08</w:t>
            </w:r>
          </w:p>
        </w:tc>
      </w:tr>
    </w:tbl>
    <w:p/>
    <w:p>
      <w:pPr>
        <w:pStyle w:val="Callout"/>
      </w:pPr>
      <w:r>
        <w:t>Interpretation: California has the highest sales among the states in the dataset, followed by New York and Texas. State-level profitability should be checked alongside sales because some high-sales states show negative total profit; this is a clear signal for deeper pricing, discount, product-mix, or cost analysis.</w:t>
      </w:r>
    </w:p>
    <w:p>
      <w:pPr>
        <w:pStyle w:val="Heading1"/>
      </w:pPr>
      <w:r>
        <w:t>12. Sub-Category Profitability: Important Diagnostic</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2592"/>
            <w:vAlign w:val="center"/>
            <w:shd w:fill="1F4E78"/>
          </w:tcPr>
          <w:p>
            <w:pPr>
              <w:jc w:val="left"/>
            </w:pPr>
            <w:r/>
            <w:r>
              <w:rPr>
                <w:b/>
                <w:color w:val="FFFFFF"/>
                <w:sz w:val="18"/>
              </w:rPr>
              <w:t>Sub-Category</w:t>
            </w:r>
          </w:p>
        </w:tc>
        <w:tc>
          <w:tcPr>
            <w:tcW w:type="dxa" w:w="2448"/>
            <w:vAlign w:val="center"/>
            <w:shd w:fill="1F4E78"/>
          </w:tcPr>
          <w:p>
            <w:pPr>
              <w:jc w:val="left"/>
            </w:pPr>
            <w:r/>
            <w:r>
              <w:rPr>
                <w:b/>
                <w:color w:val="FFFFFF"/>
                <w:sz w:val="18"/>
              </w:rPr>
              <w:t>Sales</w:t>
            </w:r>
          </w:p>
        </w:tc>
        <w:tc>
          <w:tcPr>
            <w:tcW w:type="dxa" w:w="2448"/>
            <w:vAlign w:val="center"/>
            <w:shd w:fill="1F4E78"/>
          </w:tcPr>
          <w:p>
            <w:pPr>
              <w:jc w:val="left"/>
            </w:pPr>
            <w:r/>
            <w:r>
              <w:rPr>
                <w:b/>
                <w:color w:val="FFFFFF"/>
                <w:sz w:val="18"/>
              </w:rPr>
              <w:t>Profit</w:t>
            </w:r>
          </w:p>
        </w:tc>
        <w:tc>
          <w:tcPr>
            <w:tcW w:type="dxa" w:w="2016"/>
            <w:vAlign w:val="center"/>
            <w:shd w:fill="1F4E78"/>
          </w:tcPr>
          <w:p>
            <w:pPr>
              <w:jc w:val="left"/>
            </w:pPr>
            <w:r/>
            <w:r>
              <w:rPr>
                <w:b/>
                <w:color w:val="FFFFFF"/>
                <w:sz w:val="18"/>
              </w:rPr>
              <w:t>Profit margin</w:t>
            </w:r>
          </w:p>
        </w:tc>
      </w:tr>
      <w:tr>
        <w:tc>
          <w:tcPr>
            <w:tcW w:type="dxa" w:w="2592"/>
            <w:vAlign w:val="center"/>
          </w:tcPr>
          <w:p>
            <w:pPr>
              <w:jc w:val="left"/>
            </w:pPr>
            <w:r/>
            <w:r>
              <w:rPr>
                <w:b w:val="0"/>
                <w:color w:val="000000"/>
                <w:sz w:val="18"/>
              </w:rPr>
              <w:t>Tables</w:t>
            </w:r>
          </w:p>
        </w:tc>
        <w:tc>
          <w:tcPr>
            <w:tcW w:type="dxa" w:w="2448"/>
            <w:vAlign w:val="center"/>
          </w:tcPr>
          <w:p>
            <w:pPr>
              <w:jc w:val="left"/>
            </w:pPr>
            <w:r/>
            <w:r>
              <w:rPr>
                <w:b w:val="0"/>
                <w:color w:val="000000"/>
                <w:sz w:val="18"/>
              </w:rPr>
              <w:t>$167,672.76</w:t>
            </w:r>
          </w:p>
        </w:tc>
        <w:tc>
          <w:tcPr>
            <w:tcW w:type="dxa" w:w="2448"/>
            <w:vAlign w:val="center"/>
          </w:tcPr>
          <w:p>
            <w:pPr>
              <w:jc w:val="left"/>
            </w:pPr>
            <w:r/>
            <w:r>
              <w:rPr>
                <w:b w:val="0"/>
                <w:color w:val="000000"/>
                <w:sz w:val="18"/>
              </w:rPr>
              <w:t>$-12,327.06</w:t>
            </w:r>
          </w:p>
        </w:tc>
        <w:tc>
          <w:tcPr>
            <w:tcW w:type="dxa" w:w="2016"/>
            <w:vAlign w:val="center"/>
          </w:tcPr>
          <w:p>
            <w:pPr>
              <w:jc w:val="left"/>
            </w:pPr>
            <w:r/>
            <w:r>
              <w:rPr>
                <w:b w:val="0"/>
                <w:color w:val="000000"/>
                <w:sz w:val="18"/>
              </w:rPr>
              <w:t>-7.4%</w:t>
            </w:r>
          </w:p>
        </w:tc>
      </w:tr>
      <w:tr>
        <w:tc>
          <w:tcPr>
            <w:tcW w:type="dxa" w:w="2592"/>
            <w:vAlign w:val="center"/>
          </w:tcPr>
          <w:p>
            <w:pPr>
              <w:jc w:val="left"/>
            </w:pPr>
            <w:r/>
            <w:r>
              <w:rPr>
                <w:b w:val="0"/>
                <w:color w:val="000000"/>
                <w:sz w:val="18"/>
              </w:rPr>
              <w:t>Bookcases</w:t>
            </w:r>
          </w:p>
        </w:tc>
        <w:tc>
          <w:tcPr>
            <w:tcW w:type="dxa" w:w="2448"/>
            <w:vAlign w:val="center"/>
          </w:tcPr>
          <w:p>
            <w:pPr>
              <w:jc w:val="left"/>
            </w:pPr>
            <w:r/>
            <w:r>
              <w:rPr>
                <w:b w:val="0"/>
                <w:color w:val="000000"/>
                <w:sz w:val="18"/>
              </w:rPr>
              <w:t>$101,387.67</w:t>
            </w:r>
          </w:p>
        </w:tc>
        <w:tc>
          <w:tcPr>
            <w:tcW w:type="dxa" w:w="2448"/>
            <w:vAlign w:val="center"/>
          </w:tcPr>
          <w:p>
            <w:pPr>
              <w:jc w:val="left"/>
            </w:pPr>
            <w:r/>
            <w:r>
              <w:rPr>
                <w:b w:val="0"/>
                <w:color w:val="000000"/>
                <w:sz w:val="18"/>
              </w:rPr>
              <w:t>$-2,428.25</w:t>
            </w:r>
          </w:p>
        </w:tc>
        <w:tc>
          <w:tcPr>
            <w:tcW w:type="dxa" w:w="2016"/>
            <w:vAlign w:val="center"/>
          </w:tcPr>
          <w:p>
            <w:pPr>
              <w:jc w:val="left"/>
            </w:pPr>
            <w:r/>
            <w:r>
              <w:rPr>
                <w:b w:val="0"/>
                <w:color w:val="000000"/>
                <w:sz w:val="18"/>
              </w:rPr>
              <w:t>-2.4%</w:t>
            </w:r>
          </w:p>
        </w:tc>
      </w:tr>
      <w:tr>
        <w:tc>
          <w:tcPr>
            <w:tcW w:type="dxa" w:w="2592"/>
            <w:vAlign w:val="center"/>
          </w:tcPr>
          <w:p>
            <w:pPr>
              <w:jc w:val="left"/>
            </w:pPr>
            <w:r/>
            <w:r>
              <w:rPr>
                <w:b w:val="0"/>
                <w:color w:val="000000"/>
                <w:sz w:val="18"/>
              </w:rPr>
              <w:t>Supplies</w:t>
            </w:r>
          </w:p>
        </w:tc>
        <w:tc>
          <w:tcPr>
            <w:tcW w:type="dxa" w:w="2448"/>
            <w:vAlign w:val="center"/>
          </w:tcPr>
          <w:p>
            <w:pPr>
              <w:jc w:val="left"/>
            </w:pPr>
            <w:r/>
            <w:r>
              <w:rPr>
                <w:b w:val="0"/>
                <w:color w:val="000000"/>
                <w:sz w:val="18"/>
              </w:rPr>
              <w:t>$38,554.81</w:t>
            </w:r>
          </w:p>
        </w:tc>
        <w:tc>
          <w:tcPr>
            <w:tcW w:type="dxa" w:w="2448"/>
            <w:vAlign w:val="center"/>
          </w:tcPr>
          <w:p>
            <w:pPr>
              <w:jc w:val="left"/>
            </w:pPr>
            <w:r/>
            <w:r>
              <w:rPr>
                <w:b w:val="0"/>
                <w:color w:val="000000"/>
                <w:sz w:val="18"/>
              </w:rPr>
              <w:t>$-198.51</w:t>
            </w:r>
          </w:p>
        </w:tc>
        <w:tc>
          <w:tcPr>
            <w:tcW w:type="dxa" w:w="2016"/>
            <w:vAlign w:val="center"/>
          </w:tcPr>
          <w:p>
            <w:pPr>
              <w:jc w:val="left"/>
            </w:pPr>
            <w:r/>
            <w:r>
              <w:rPr>
                <w:b w:val="0"/>
                <w:color w:val="000000"/>
                <w:sz w:val="18"/>
              </w:rPr>
              <w:t>-0.5%</w:t>
            </w:r>
          </w:p>
        </w:tc>
      </w:tr>
    </w:tbl>
    <w:p/>
    <w:p>
      <w:pPr>
        <w:pStyle w:val="Callout"/>
      </w:pPr>
      <w:r>
        <w:t>Interpretation: Tables, Bookcases, and Supplies have negative total profit in the uploaded dataset. This does not by itself explain the cause, but it identifies specific areas that deserve further investigation into discounts, costs, returns, pricing, or product mix.</w:t>
      </w:r>
    </w:p>
    <w:p>
      <w:pPr>
        <w:pStyle w:val="Heading1"/>
      </w:pPr>
      <w:r>
        <w:t>13. Overall Business Insights / Outcomes</w:t>
      </w:r>
    </w:p>
    <w:p>
      <w:pPr>
        <w:pStyle w:val="ListBullet"/>
      </w:pPr>
      <w:r>
        <w:t>The dataset contains 8,314 sales transaction records across 789 unique customers, 49 states, 17 sub-categories, and 3 major categories.</w:t>
      </w:r>
    </w:p>
    <w:p>
      <w:pPr>
        <w:pStyle w:val="ListBullet"/>
      </w:pPr>
      <w:r>
        <w:t>Total sales are $1,928,887.86 and total profit is $247,961.07, giving an overall profit margin of 12.9%.</w:t>
      </w:r>
    </w:p>
    <w:p>
      <w:pPr>
        <w:pStyle w:val="ListBullet"/>
      </w:pPr>
      <w:r>
        <w:t>Technology is the largest sales category at $704,452.15 and also contributes the highest total profit at $121,861.73.</w:t>
      </w:r>
    </w:p>
    <w:p>
      <w:pPr>
        <w:pStyle w:val="ListBullet"/>
      </w:pPr>
      <w:r>
        <w:t>Office Supplies has a slightly lower sales total than Furniture but a much stronger profit margin (18.0% versus 2.9%).</w:t>
      </w:r>
    </w:p>
    <w:p>
      <w:pPr>
        <w:pStyle w:val="ListBullet"/>
      </w:pPr>
      <w:r>
        <w:t>2023 is the highest-sales and highest-profit year in the dataset, with $609,094.76 sales and $81,786.94 profit.</w:t>
      </w:r>
    </w:p>
    <w:p>
      <w:pPr>
        <w:pStyle w:val="ListBullet"/>
      </w:pPr>
      <w:r>
        <w:t>2024 has the highest annual profit margin at 15.1%, despite having lower sales than 2021-2023.</w:t>
      </w:r>
    </w:p>
    <w:p>
      <w:pPr>
        <w:pStyle w:val="ListBullet"/>
      </w:pPr>
      <w:r>
        <w:t>December is the highest-sales month at $241,464.23, while February is the lowest at $59,640.16.</w:t>
      </w:r>
    </w:p>
    <w:p>
      <w:pPr>
        <w:pStyle w:val="ListBullet"/>
      </w:pPr>
      <w:r>
        <w:t>The customer analysis identifies high-profit customers that can be used for retention and account-prioritization analysis.</w:t>
      </w:r>
    </w:p>
    <w:p>
      <w:pPr>
        <w:pStyle w:val="ListBullet"/>
      </w:pPr>
      <w:r>
        <w:t>State-level results show that strong sales markets and strong profit markets are not always the same, so geography should be evaluated using both sales and profit.</w:t>
      </w:r>
    </w:p>
    <w:p>
      <w:pPr>
        <w:pStyle w:val="ListBullet"/>
      </w:pPr>
      <w:r>
        <w:t>Negative-profit sub-categories (Tables, Bookcases, and Supplies) provide clear areas for further investigation before assuming that higher sales always mean better business performance.</w:t>
      </w:r>
    </w:p>
    <w:p>
      <w:pPr>
        <w:pStyle w:val="ListBullet"/>
      </w:pPr>
      <w:r>
        <w:t>Interactive slicers for Category, Month, and Year make the dashboard useful for ad-hoc exploration rather than only one fixed report view.</w:t>
      </w:r>
    </w:p>
    <w:p>
      <w:pPr>
        <w:pStyle w:val="Heading1"/>
      </w:pPr>
      <w:r>
        <w:t>14. What the Dashboard Helps the Business Do</w:t>
      </w:r>
    </w:p>
    <w:p>
      <w:pPr>
        <w:pStyle w:val="ListBullet"/>
      </w:pPr>
      <w:r>
        <w:t>Monitor overall sales and profitability from a single screen.</w:t>
      </w:r>
    </w:p>
    <w:p>
      <w:pPr>
        <w:pStyle w:val="ListBullet"/>
      </w:pPr>
      <w:r>
        <w:t>Compare category and sub-category performance.</w:t>
      </w:r>
    </w:p>
    <w:p>
      <w:pPr>
        <w:pStyle w:val="ListBullet"/>
      </w:pPr>
      <w:r>
        <w:t>Track performance changes across years and months.</w:t>
      </w:r>
    </w:p>
    <w:p>
      <w:pPr>
        <w:pStyle w:val="ListBullet"/>
      </w:pPr>
      <w:r>
        <w:t>Identify high-value customers based on profit contribution.</w:t>
      </w:r>
    </w:p>
    <w:p>
      <w:pPr>
        <w:pStyle w:val="ListBullet"/>
      </w:pPr>
      <w:r>
        <w:t>Compare geographical sales performance across states.</w:t>
      </w:r>
    </w:p>
    <w:p>
      <w:pPr>
        <w:pStyle w:val="ListBullet"/>
      </w:pPr>
      <w:r>
        <w:t>Detect products or markets that generate sales but weak or negative profit.</w:t>
      </w:r>
    </w:p>
    <w:p>
      <w:pPr>
        <w:pStyle w:val="ListBullet"/>
      </w:pPr>
      <w:r>
        <w:t>Filter the dashboard interactively to answer focused business questions.</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Sales &amp; Profit Dashboard | Excel Data Analytics Project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
    <w:name w:val="Callout"/>
    <w:rPr>
      <w:rFonts w:ascii="Aptos" w:hAnsi="Aptos"/>
      <w:i/>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