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lrw7riepc0a" w:id="0"/>
      <w:bookmarkEnd w:id="0"/>
      <w:r w:rsidDel="00000000" w:rsidR="00000000" w:rsidRPr="00000000">
        <w:rPr>
          <w:rtl w:val="0"/>
        </w:rPr>
        <w:t xml:space="preserve">SWYNEX Technologies — Final Data Analytics Project Case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B2B CRM Sales Pipeline Analysis &amp; Business Intelligence Performance Case Study</w:t>
        <w:br w:type="textWrapping"/>
        <w:t xml:space="preserve">Prepared by Yashaswini Polakonda, Data Analyst Intern | Data &amp; AI Domain, SWYNEX Technologies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nkf7swpm1s" w:id="1"/>
      <w:bookmarkEnd w:id="1"/>
      <w:r w:rsidDel="00000000" w:rsidR="00000000" w:rsidRPr="00000000">
        <w:rPr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B2B sales operations, long-term revenue growth depends directly upon maintaining robust pipeline health, maximizing stage conversion rates, and mitigating product portfolio concentration risks. SWYNEX Technologies established this end-to-end data analytics workflow to address structural operational bottlenecks observed across enterprise CRM activities: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Friction &amp; Drop-Offs:</w:t>
      </w:r>
      <w:r w:rsidDel="00000000" w:rsidR="00000000" w:rsidRPr="00000000">
        <w:rPr>
          <w:rtl w:val="0"/>
        </w:rPr>
        <w:t xml:space="preserve"> Pinpointing granular, stage-by-stage attrition across the sales funnel from first outreach to closed won/lost stages.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Concentration Risk:</w:t>
      </w:r>
      <w:r w:rsidDel="00000000" w:rsidR="00000000" w:rsidRPr="00000000">
        <w:rPr>
          <w:rtl w:val="0"/>
        </w:rPr>
        <w:t xml:space="preserve"> Assessing commercial over-reliance on specific core offerings versus underperforming tiers that fail to achieve target traction.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Velocity Bottlenecks:</w:t>
      </w:r>
      <w:r w:rsidDel="00000000" w:rsidR="00000000" w:rsidRPr="00000000">
        <w:rPr>
          <w:rtl w:val="0"/>
        </w:rPr>
        <w:t xml:space="preserve"> Quantifying sales cycle length across industry sectors and geographical territories to uncover pipeline dead-time.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Visibility:</w:t>
      </w:r>
      <w:r w:rsidDel="00000000" w:rsidR="00000000" w:rsidRPr="00000000">
        <w:rPr>
          <w:rtl w:val="0"/>
        </w:rPr>
        <w:t xml:space="preserve"> Delivering a unified, interactive Business Intelligence dashboard to equip executive leadership with real-time KPI visibility and data-informed decision vectors.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4jfkxzf9pqr6" w:id="2"/>
      <w:bookmarkEnd w:id="2"/>
      <w:r w:rsidDel="00000000" w:rsidR="00000000" w:rsidRPr="00000000">
        <w:rPr>
          <w:rtl w:val="0"/>
        </w:rPr>
        <w:t xml:space="preserve">2. Dataset Architecture &amp; Schema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underlying data model incorporates a multi-table relational schema comprising 8,451 transactional records sourced from Maven Analytics. The schema organizes operational sales data into a centralized fact entity supported by specialized dimension tables.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Table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Entity Type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Primary Key / Keys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Core Attributes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sales_pipeline_crm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Entity Type"/>
                <w:id w:val="30878820"/>
                <w:dropDownList w:lastValue="Fact Table">
                  <w:listItem w:displayText="Dimension Table" w:value="Dimension Table"/>
                  <w:listItem w:displayText="Fact Table" w:value="Fact Table"/>
                  <w:listItem w:displayText="Metadata" w:value="Metada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Fact 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sales_agent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deal_stage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engage_date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close_date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close_value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accounts_crm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Entity Type"/>
                <w:id w:val="1336835936"/>
                <w:dropDownList w:lastValue="Dimension Table">
                  <w:listItem w:displayText="Dimension Table" w:value="Dimension Table"/>
                  <w:listItem w:displayText="Fact Table" w:value="Fact Table"/>
                  <w:listItem w:displayText="Metadata" w:value="Metada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Dimension 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year_established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annual_revenue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office_location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products_crm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Entity Type"/>
                <w:id w:val="-381631817"/>
                <w:dropDownList w:lastValue="Dimension Table">
                  <w:listItem w:displayText="Dimension Table" w:value="Dimension Table"/>
                  <w:listItem w:displayText="Fact Table" w:value="Fact Table"/>
                  <w:listItem w:displayText="Metadata" w:value="Metada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Dimension 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sales_teams_crm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Entity Type"/>
                <w:id w:val="-1879573123"/>
                <w:dropDownList w:lastValue="Dimension Table">
                  <w:listItem w:displayText="Dimension Table" w:value="Dimension Table"/>
                  <w:listItem w:displayText="Fact Table" w:value="Fact Table"/>
                  <w:listItem w:displayText="Metadata" w:value="Metada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Dimension 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regional_office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data_dictionary_crm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Entity Type"/>
                <w:id w:val="618981605"/>
                <w:dropDownList w:lastValue="Metadata">
                  <w:listItem w:displayText="Dimension Table" w:value="Dimension Table"/>
                  <w:listItem w:displayText="Fact Table" w:value="Fact Table"/>
                  <w:listItem w:displayText="Metadata" w:value="Metada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Metadata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Metric Key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Definitions, allowable value constraints, parameter mapping rules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5f7tgiy4m2t0" w:id="3"/>
      <w:bookmarkEnd w:id="3"/>
      <w:r w:rsidDel="00000000" w:rsidR="00000000" w:rsidRPr="00000000">
        <w:rPr>
          <w:rtl w:val="0"/>
        </w:rPr>
        <w:t xml:space="preserve">3. Data Cleaning &amp; Transformation Process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Prior to performing exploratory analysis, data validation and cleansing workflows were executed using Microsoft Excel and SQL Server Management Studio (SSMS) utilizing T-SQL to guarantee tabular consistency and relational integrity.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52ns3edp9gk" w:id="4"/>
      <w:bookmarkEnd w:id="4"/>
      <w:r w:rsidDel="00000000" w:rsidR="00000000" w:rsidRPr="00000000">
        <w:rPr>
          <w:rtl w:val="0"/>
        </w:rPr>
        <w:t xml:space="preserve">Handling Missing Values &amp; Data Imputation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Missing account keys were preserved and categorized rather than dropped, applying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COALESCE(account, 'Unassigned Account')</w:t>
      </w:r>
      <w:r w:rsidDel="00000000" w:rsidR="00000000" w:rsidRPr="00000000">
        <w:rPr>
          <w:rtl w:val="0"/>
        </w:rPr>
        <w:t xml:space="preserve"> to avoid transactional data loss. Unpopulated revenue records on deals terminating in lost or exploratory status were converted to numerical zeroes via conditional replacement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close_value =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2bdxpisciomy" w:id="5"/>
      <w:bookmarkEnd w:id="5"/>
      <w:r w:rsidDel="00000000" w:rsidR="00000000" w:rsidRPr="00000000">
        <w:rPr>
          <w:rtl w:val="0"/>
        </w:rPr>
        <w:t xml:space="preserve">Text Standardization &amp; Data Integrity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Text values within categorical columns—specifically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deal_stage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regional_office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</w:t>
      </w:r>
      <w:r w:rsidDel="00000000" w:rsidR="00000000" w:rsidRPr="00000000">
        <w:rPr>
          <w:rtl w:val="0"/>
        </w:rPr>
        <w:t xml:space="preserve">—were trimmed of extraneous spacing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and formatted into standardized title casing to prevent split groupings during reporting.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dcx58jnk2n4" w:id="6"/>
      <w:bookmarkEnd w:id="6"/>
      <w:r w:rsidDel="00000000" w:rsidR="00000000" w:rsidRPr="00000000">
        <w:rPr>
          <w:rtl w:val="0"/>
        </w:rPr>
        <w:t xml:space="preserve">Feature Engineering &amp; Date Calculations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Deal progression timelines were derived by computing cycle duration: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deal_duration_days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DATEDIFF(day, engage_date, close_date)</w:t>
      </w:r>
      <w:r w:rsidDel="00000000" w:rsidR="00000000" w:rsidRPr="00000000">
        <w:rPr>
          <w:rtl w:val="0"/>
        </w:rPr>
        <w:t xml:space="preserve"> across completed opportunities.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Enforced robust type casting on temporal inputs utilizing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TRY_CAST()</w:t>
      </w:r>
      <w:r w:rsidDel="00000000" w:rsidR="00000000" w:rsidRPr="00000000">
        <w:rPr>
          <w:rtl w:val="0"/>
        </w:rPr>
        <w:t xml:space="preserve"> functions to avoid batch runtime query failures caused by localized date formats.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esgk93sr5s" w:id="7"/>
      <w:bookmarkEnd w:id="7"/>
      <w:r w:rsidDel="00000000" w:rsidR="00000000" w:rsidRPr="00000000">
        <w:rPr>
          <w:rtl w:val="0"/>
        </w:rPr>
        <w:t xml:space="preserve">Analytical Data Modeling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cleansed data model was deployed to Power BI under an optimized Star Schema architecture: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Configured 1-to-Many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1:*</w:t>
      </w:r>
      <w:r w:rsidDel="00000000" w:rsidR="00000000" w:rsidRPr="00000000">
        <w:rPr>
          <w:rtl w:val="0"/>
        </w:rPr>
        <w:t xml:space="preserve">) single-direction relationships radiating from dimension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accounts_crm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products_crm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sales_teams_crm</w:t>
      </w:r>
      <w:r w:rsidDel="00000000" w:rsidR="00000000" w:rsidRPr="00000000">
        <w:rPr>
          <w:rtl w:val="0"/>
        </w:rPr>
        <w:t xml:space="preserve">) directly to the central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sales_pipeline_crm</w:t>
      </w:r>
      <w:r w:rsidDel="00000000" w:rsidR="00000000" w:rsidRPr="00000000">
        <w:rPr>
          <w:rtl w:val="0"/>
        </w:rPr>
        <w:t xml:space="preserve"> fact table.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Centralized all calculation logic into a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_Measures</w:t>
      </w:r>
      <w:r w:rsidDel="00000000" w:rsidR="00000000" w:rsidRPr="00000000">
        <w:rPr>
          <w:rtl w:val="0"/>
        </w:rPr>
        <w:t xml:space="preserve"> table housing explicit Data Analysis Expressions (DAX) metrics.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r1i5uyu2nwhh" w:id="8"/>
      <w:bookmarkEnd w:id="8"/>
      <w:r w:rsidDel="00000000" w:rsidR="00000000" w:rsidRPr="00000000">
        <w:rPr>
          <w:rtl w:val="0"/>
        </w:rPr>
        <w:t xml:space="preserve">4. Exploratory Data Analysis &amp; Analytical Findings</w:t>
      </w:r>
    </w:p>
    <w:tbl>
      <w:tblPr>
        <w:tblStyle w:val="Table2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Performance Dimension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Observed Metric / Value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Analytical Implication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8,451 Total Deals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transaction base covering all global operating units.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 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50.2% (4,238 Won Deals)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Conversion efficiency sits at parity; late-stage execution is critical to total margin.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Revenue Generators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GTX Plus Pro &amp; MG Advanced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Over-indexing on high-tier lines drives majority gross margin but limits diversification.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Leading Regional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West Region (51.8 Days Avg)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Top overall gross revenue performer despite a marginally longer closing cycle.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Sector Volumes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Retail (₹18.6L across 799 deals)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Retail and Technology lead industry adoption and total pipeline contributions.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Sales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Mid-Year Seasonal Crest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Consistent mid-year revenue surge observed before stabilizing through Q4 fiscal close.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mxw5zk7j6zx4" w:id="9"/>
      <w:bookmarkEnd w:id="9"/>
      <w:r w:rsidDel="00000000" w:rsidR="00000000" w:rsidRPr="00000000">
        <w:rPr>
          <w:rtl w:val="0"/>
        </w:rPr>
        <w:t xml:space="preserve">5. Executive Power BI Dashboard Architecture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 interactive </w:t>
      </w:r>
      <w:r w:rsidDel="00000000" w:rsidR="00000000" w:rsidRPr="00000000">
        <w:rPr>
          <w:b w:val="1"/>
          <w:bCs w:val="1"/>
          <w:rtl w:val="0"/>
        </w:rPr>
        <w:t xml:space="preserve">Executive Sales &amp; Pipeline Performance Dashboard</w:t>
      </w:r>
      <w:r w:rsidDel="00000000" w:rsidR="00000000" w:rsidRPr="00000000">
        <w:rPr>
          <w:rtl w:val="0"/>
        </w:rPr>
        <w:t xml:space="preserve"> was designed in Power BI Desktop utilizing an enterprise dark navy color theme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#1E293B</w:t>
      </w:r>
      <w:r w:rsidDel="00000000" w:rsidR="00000000" w:rsidRPr="00000000">
        <w:rPr>
          <w:rtl w:val="0"/>
        </w:rPr>
        <w:t xml:space="preserve">) optimized for visibility and visual hierarchy.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luvag35wq8b9" w:id="10"/>
      <w:bookmarkEnd w:id="10"/>
      <w:r w:rsidDel="00000000" w:rsidR="00000000" w:rsidRPr="00000000">
        <w:rPr>
          <w:rtl w:val="0"/>
        </w:rPr>
        <w:t xml:space="preserve">Summary KPI Card Strip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$10.0M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Won Deals:</w:t>
      </w:r>
      <w:r w:rsidDel="00000000" w:rsidR="00000000" w:rsidRPr="00000000">
        <w:rPr>
          <w:rtl w:val="0"/>
        </w:rPr>
        <w:t xml:space="preserve"> 4,238 Deals (4K)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Opportunities Tracked:</w:t>
      </w:r>
      <w:r w:rsidDel="00000000" w:rsidR="00000000" w:rsidRPr="00000000">
        <w:rPr>
          <w:rtl w:val="0"/>
        </w:rPr>
        <w:t xml:space="preserve"> 8,451 Opportunities (8K)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Win Rate:</w:t>
      </w:r>
      <w:r w:rsidDel="00000000" w:rsidR="00000000" w:rsidRPr="00000000">
        <w:rPr>
          <w:rtl w:val="0"/>
        </w:rPr>
        <w:t xml:space="preserve"> 50.2%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Deal Duration:</w:t>
      </w:r>
      <w:r w:rsidDel="00000000" w:rsidR="00000000" w:rsidRPr="00000000">
        <w:rPr>
          <w:rtl w:val="0"/>
        </w:rPr>
        <w:t xml:space="preserve"> 47.99 Days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573o87j86th" w:id="11"/>
      <w:bookmarkEnd w:id="11"/>
      <w:r w:rsidDel="00000000" w:rsidR="00000000" w:rsidRPr="00000000">
        <w:rPr>
          <w:rtl w:val="0"/>
        </w:rPr>
        <w:t xml:space="preserve">Analytical Reporting Modules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Pipeline Volume by Stage:</w:t>
      </w:r>
      <w:r w:rsidDel="00000000" w:rsidR="00000000" w:rsidRPr="00000000">
        <w:rPr>
          <w:rtl w:val="0"/>
        </w:rPr>
        <w:t xml:space="preserve"> Clustered Column Chart illustrating volume drops between initial prospect qualification, engagement, and final deal closure.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Line Contribution:</w:t>
      </w:r>
      <w:r w:rsidDel="00000000" w:rsidR="00000000" w:rsidRPr="00000000">
        <w:rPr>
          <w:rtl w:val="0"/>
        </w:rPr>
        <w:t xml:space="preserve"> Horizontal Bar Chart benchmarking revenue volume across SKU tiers, highlighting the performance dominance of premium series.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Revenue Momentum:</w:t>
      </w:r>
      <w:r w:rsidDel="00000000" w:rsidR="00000000" w:rsidRPr="00000000">
        <w:rPr>
          <w:rtl w:val="0"/>
        </w:rPr>
        <w:t xml:space="preserve"> Longitudinal Line Chart featuring data-point markers to evaluate sales seasonality, trailing quarters, and cycloid trends.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Dynamic Slicer:</w:t>
      </w:r>
      <w:r w:rsidDel="00000000" w:rsidR="00000000" w:rsidRPr="00000000">
        <w:rPr>
          <w:rtl w:val="0"/>
        </w:rPr>
        <w:t xml:space="preserve"> Global dropdown selector enabling instant cross-filtering across office branches, regional managers, and account sectors.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xmcqzpuxfjp" w:id="12"/>
      <w:bookmarkEnd w:id="12"/>
      <w:r w:rsidDel="00000000" w:rsidR="00000000" w:rsidRPr="00000000">
        <w:rPr>
          <w:rtl w:val="0"/>
        </w:rPr>
        <w:t xml:space="preserve">6. Key Business Insights &amp; Strategic Recommendations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 CRM Pipeline Ingestion ]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│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▼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 Funnel Attrition Check ] ──► Bottleneck: Pitch Finalization Phase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│                   └─► Fix: Mid-Stage Gating Checkpoints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▼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 SKU Revenue Breakdown ]  ──► Risk: Over-Reliance on Flagship Hardware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│                   └─► Fix: Value-Add Service Bundles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▼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 Cycle Velocity Audits ]  ──► Friction: 48-Day Average Duration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└─► Fix: Automated Follow-Up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8dlv81iob1ya" w:id="13"/>
      <w:bookmarkEnd w:id="1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1. Mid-Funnel Stage Attrition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Transaction logs indicate significant prospect drop-off between engagement and closing, revealing operational friction during pitch finalization.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Recommendation:</w:t>
      </w:r>
      <w:r w:rsidDel="00000000" w:rsidR="00000000" w:rsidRPr="00000000">
        <w:rPr>
          <w:rtl w:val="0"/>
        </w:rPr>
        <w:t xml:space="preserve"> Implement mandatory mid-stage pipeline review gates. Standardize validation criteria prior to moving opportunities past qualification to elevate deal readiness.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6r2z9qzan4qe" w:id="14"/>
      <w:bookmarkEnd w:id="14"/>
      <w:r w:rsidDel="00000000" w:rsidR="00000000" w:rsidRPr="00000000">
        <w:rPr>
          <w:rtl w:val="0"/>
        </w:rPr>
        <w:t xml:space="preserve">2. Product Revenue Concentration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Gross revenue is disproportionately dependent on flagship offerings (GTX Plus Pro and MG Advanced), exposing the firm to sector volatility.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Recommendation:</w:t>
      </w:r>
      <w:r w:rsidDel="00000000" w:rsidR="00000000" w:rsidRPr="00000000">
        <w:rPr>
          <w:rtl w:val="0"/>
        </w:rPr>
        <w:t xml:space="preserve"> Bundle underperforming entry-tier product lines with core enterprise products through targeted discounting or combined maintenance contracts to expand cross-tier adoption.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053ovyw7pvm" w:id="15"/>
      <w:bookmarkEnd w:id="15"/>
      <w:r w:rsidDel="00000000" w:rsidR="00000000" w:rsidRPr="00000000">
        <w:rPr>
          <w:rtl w:val="0"/>
        </w:rPr>
        <w:t xml:space="preserve">3. Sales Velocity &amp; Timeline Compression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Enterprise deal cycles average approximately 48 days, restricting capital recycling and lengthening account acquisition schedules.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Recommendation:</w:t>
      </w:r>
      <w:r w:rsidDel="00000000" w:rsidR="00000000" w:rsidRPr="00000000">
        <w:rPr>
          <w:rtl w:val="0"/>
        </w:rPr>
        <w:t xml:space="preserve"> Introduce automated follow-up cadences and CRM alerting mechanisms within lagging industry sectors to systematically eliminate administrative inertia and shorten close velocity.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Inter" w:cs="Inter" w:eastAsia="Inter" w:hAnsi="Inter"/>
      <w:b w:val="1"/>
      <w:bCs w:val="1"/>
      <w:i w:val="0"/>
      <w:iCs w:val="0"/>
      <w:color w:val="64748b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Inter" w:cs="Inter" w:eastAsia="Inter" w:hAnsi="Inter"/>
      <w:b w:val="0"/>
      <w:bCs w:val="0"/>
      <w:i w:val="1"/>
      <w:iCs w:val="1"/>
      <w:color w:val="64748b"/>
      <w:sz w:val="19"/>
      <w:szCs w:val="19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