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FC9E" w14:textId="77777777" w:rsidR="005B07C4" w:rsidRDefault="005B07C4" w:rsidP="005B07C4">
      <w:pPr>
        <w:spacing w:after="0"/>
        <w:jc w:val="center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Major problems and practical solutions</w:t>
      </w:r>
    </w:p>
    <w:p w14:paraId="011D2ACB" w14:textId="7777777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</w:p>
    <w:p w14:paraId="6E5400F4" w14:textId="7777777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1. All models were trained with only one random seed</w:t>
      </w:r>
    </w:p>
    <w:p w14:paraId="27B57C64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 xml:space="preserve">The models were trained only with seed 42. Their performance may partly depend on that </w:t>
      </w:r>
      <w:proofErr w:type="gramStart"/>
      <w:r w:rsidRPr="005B07C4">
        <w:rPr>
          <w:sz w:val="22"/>
          <w:szCs w:val="22"/>
        </w:rPr>
        <w:t>particular random</w:t>
      </w:r>
      <w:proofErr w:type="gramEnd"/>
      <w:r w:rsidRPr="005B07C4">
        <w:rPr>
          <w:sz w:val="22"/>
          <w:szCs w:val="22"/>
        </w:rPr>
        <w:t xml:space="preserve"> initialization.</w:t>
      </w:r>
    </w:p>
    <w:p w14:paraId="7871C398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Practical solution:</w:t>
      </w:r>
      <w:r w:rsidRPr="005B07C4">
        <w:rPr>
          <w:sz w:val="22"/>
          <w:szCs w:val="22"/>
        </w:rPr>
        <w:br/>
        <w:t>Repeat only the four most important models using two additional seeds:</w:t>
      </w:r>
    </w:p>
    <w:p w14:paraId="3F69920F" w14:textId="77777777" w:rsidR="005B07C4" w:rsidRPr="005B07C4" w:rsidRDefault="005B07C4" w:rsidP="005B07C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M1: basic U-Net </w:t>
      </w:r>
    </w:p>
    <w:p w14:paraId="50151C65" w14:textId="77777777" w:rsidR="005B07C4" w:rsidRPr="005B07C4" w:rsidRDefault="005B07C4" w:rsidP="005B07C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G1: camouflage-guided U-Net </w:t>
      </w:r>
    </w:p>
    <w:p w14:paraId="54EF2B74" w14:textId="77777777" w:rsidR="005B07C4" w:rsidRPr="005B07C4" w:rsidRDefault="005B07C4" w:rsidP="005B07C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G1R: random-teacher model </w:t>
      </w:r>
    </w:p>
    <w:p w14:paraId="7662D608" w14:textId="77777777" w:rsidR="005B07C4" w:rsidRPr="005B07C4" w:rsidRDefault="005B07C4" w:rsidP="005B07C4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M1W: parameter-matched wide U-Net </w:t>
      </w:r>
    </w:p>
    <w:p w14:paraId="48B9E964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Use three seeds in total, for example:</w:t>
      </w:r>
    </w:p>
    <w:p w14:paraId="1F3B7E2B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42, 123, 2026</w:t>
      </w:r>
    </w:p>
    <w:p w14:paraId="4863ED1F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There is no immediate need to repeat all eight models with five seeds. Running these four models with three seeds would provide reasonable evidence while keeping the computation manageable.</w:t>
      </w:r>
    </w:p>
    <w:p w14:paraId="76EDC38C" w14:textId="56FF66B1" w:rsidR="005B07C4" w:rsidRPr="005B07C4" w:rsidRDefault="005B07C4" w:rsidP="005B07C4">
      <w:pPr>
        <w:spacing w:after="0"/>
        <w:rPr>
          <w:sz w:val="22"/>
          <w:szCs w:val="22"/>
        </w:rPr>
      </w:pPr>
    </w:p>
    <w:p w14:paraId="1A73D091" w14:textId="7777777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2. There is no direct comparison between G1 and G1R</w:t>
      </w:r>
    </w:p>
    <w:p w14:paraId="68150425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>The main argument is that the camouflage-trained teacher is better than the random teacher. However, the paper does not statistically compare these two models directly.</w:t>
      </w:r>
    </w:p>
    <w:p w14:paraId="094CE57F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Simple solution:</w:t>
      </w:r>
      <w:r w:rsidRPr="005B07C4">
        <w:rPr>
          <w:sz w:val="22"/>
          <w:szCs w:val="22"/>
        </w:rPr>
        <w:br/>
        <w:t>Use the already saved per-image Dice scores to perform:</w:t>
      </w:r>
    </w:p>
    <w:p w14:paraId="660CFBBF" w14:textId="77777777" w:rsidR="005B07C4" w:rsidRPr="005B07C4" w:rsidRDefault="005B07C4" w:rsidP="005B07C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G1 versus G1R; </w:t>
      </w:r>
    </w:p>
    <w:p w14:paraId="1B22BA96" w14:textId="77777777" w:rsidR="005B07C4" w:rsidRPr="005B07C4" w:rsidRDefault="005B07C4" w:rsidP="005B07C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G1 versus M1W; </w:t>
      </w:r>
    </w:p>
    <w:p w14:paraId="1E5CCB0F" w14:textId="77777777" w:rsidR="005B07C4" w:rsidRPr="005B07C4" w:rsidRDefault="005B07C4" w:rsidP="005B07C4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G1 versus M1. </w:t>
      </w:r>
    </w:p>
    <w:p w14:paraId="68E6CBA0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Use the paired Wilcoxon signed-rank test and report:</w:t>
      </w:r>
    </w:p>
    <w:p w14:paraId="791E9668" w14:textId="77777777" w:rsidR="005B07C4" w:rsidRPr="005B07C4" w:rsidRDefault="005B07C4" w:rsidP="005B07C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average or median difference; </w:t>
      </w:r>
    </w:p>
    <w:p w14:paraId="257D1975" w14:textId="294AA01B" w:rsidR="005B07C4" w:rsidRPr="005B07C4" w:rsidRDefault="005B07C4" w:rsidP="005B07C4">
      <w:pPr>
        <w:numPr>
          <w:ilvl w:val="0"/>
          <w:numId w:val="3"/>
        </w:numPr>
        <w:spacing w:after="0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p</m:t>
        </m:r>
      </m:oMath>
      <w:r w:rsidRPr="005B07C4">
        <w:rPr>
          <w:sz w:val="22"/>
          <w:szCs w:val="22"/>
        </w:rPr>
        <w:t xml:space="preserve">-value; </w:t>
      </w:r>
    </w:p>
    <w:p w14:paraId="4B4652C7" w14:textId="52A309A5" w:rsidR="005B07C4" w:rsidRPr="005B07C4" w:rsidRDefault="005B07C4" w:rsidP="005B07C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corrected </w:t>
      </w:r>
      <m:oMath>
        <m:r>
          <w:rPr>
            <w:rFonts w:ascii="Cambria Math" w:hAnsi="Cambria Math"/>
            <w:sz w:val="22"/>
            <w:szCs w:val="22"/>
          </w:rPr>
          <m:t>p</m:t>
        </m:r>
      </m:oMath>
      <w:r w:rsidRPr="005B07C4">
        <w:rPr>
          <w:sz w:val="22"/>
          <w:szCs w:val="22"/>
        </w:rPr>
        <w:t xml:space="preserve">-value; </w:t>
      </w:r>
    </w:p>
    <w:p w14:paraId="63E27BC0" w14:textId="77777777" w:rsidR="005B07C4" w:rsidRPr="005B07C4" w:rsidRDefault="005B07C4" w:rsidP="005B07C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win percentage; </w:t>
      </w:r>
    </w:p>
    <w:p w14:paraId="02B25E54" w14:textId="77777777" w:rsidR="005B07C4" w:rsidRPr="005B07C4" w:rsidRDefault="005B07C4" w:rsidP="005B07C4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95% confidence interval. </w:t>
      </w:r>
    </w:p>
    <w:p w14:paraId="0FD96D5F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This experiment does not require any model retraining.</w:t>
      </w:r>
    </w:p>
    <w:p w14:paraId="401D9E22" w14:textId="1F136FF1" w:rsidR="005B07C4" w:rsidRPr="005B07C4" w:rsidRDefault="005B07C4" w:rsidP="005B07C4">
      <w:pPr>
        <w:spacing w:after="0"/>
        <w:rPr>
          <w:sz w:val="22"/>
          <w:szCs w:val="22"/>
        </w:rPr>
      </w:pPr>
    </w:p>
    <w:p w14:paraId="4B485CC3" w14:textId="7777777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3. The benefit may not be specific to camouflage knowledge</w:t>
      </w:r>
    </w:p>
    <w:p w14:paraId="321B7996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>The camouflage teacher performs better than a random teacher, but any properly pretrained model might perform better than a random model. Therefore, the current results do not establish that camouflage pretraining itself is special.</w:t>
      </w:r>
    </w:p>
    <w:p w14:paraId="631433AD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Practical solution:</w:t>
      </w:r>
      <w:r w:rsidRPr="005B07C4">
        <w:rPr>
          <w:sz w:val="22"/>
          <w:szCs w:val="22"/>
        </w:rPr>
        <w:br/>
        <w:t>Add one generic pretrained-teacher control:</w:t>
      </w:r>
    </w:p>
    <w:p w14:paraId="190F58EE" w14:textId="77777777" w:rsidR="005B07C4" w:rsidRPr="005B07C4" w:rsidRDefault="005B07C4" w:rsidP="005B07C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lastRenderedPageBreak/>
        <w:t xml:space="preserve">use the same teacher architecture; </w:t>
      </w:r>
    </w:p>
    <w:p w14:paraId="7CD35735" w14:textId="77777777" w:rsidR="005B07C4" w:rsidRPr="005B07C4" w:rsidRDefault="005B07C4" w:rsidP="005B07C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initialize its encoder with ImageNet weights; </w:t>
      </w:r>
    </w:p>
    <w:p w14:paraId="52C587A9" w14:textId="77777777" w:rsidR="005B07C4" w:rsidRPr="005B07C4" w:rsidRDefault="005B07C4" w:rsidP="005B07C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freeze the teacher; </w:t>
      </w:r>
    </w:p>
    <w:p w14:paraId="7EF23E86" w14:textId="77777777" w:rsidR="005B07C4" w:rsidRPr="005B07C4" w:rsidRDefault="005B07C4" w:rsidP="005B07C4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use the same fusion method as G1. </w:t>
      </w:r>
    </w:p>
    <w:p w14:paraId="2E559C9B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This requires only one additional model configuration. If it is run with three seeds, it will provide a stronger comparison.</w:t>
      </w:r>
    </w:p>
    <w:p w14:paraId="2565BEF3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Research question:</w:t>
      </w:r>
    </w:p>
    <w:p w14:paraId="4B5B458C" w14:textId="276A598C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Is a camouflage-trained teacher better than a generally </w:t>
      </w:r>
      <w:r w:rsidRPr="005B07C4">
        <w:rPr>
          <w:sz w:val="22"/>
          <w:szCs w:val="22"/>
        </w:rPr>
        <w:t>pre-trained</w:t>
      </w:r>
      <w:r w:rsidRPr="005B07C4">
        <w:rPr>
          <w:sz w:val="22"/>
          <w:szCs w:val="22"/>
        </w:rPr>
        <w:t xml:space="preserve"> teacher?</w:t>
      </w:r>
    </w:p>
    <w:p w14:paraId="01D4A91A" w14:textId="4D9454BA" w:rsidR="005B07C4" w:rsidRPr="005B07C4" w:rsidRDefault="005B07C4" w:rsidP="005B07C4">
      <w:pPr>
        <w:spacing w:after="0"/>
        <w:rPr>
          <w:sz w:val="22"/>
          <w:szCs w:val="22"/>
        </w:rPr>
      </w:pPr>
    </w:p>
    <w:p w14:paraId="566801D1" w14:textId="7777777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4. ISIC is extremely different from Kvasir</w:t>
      </w:r>
    </w:p>
    <w:p w14:paraId="6F1A91AE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 xml:space="preserve">The model is trained on colonoscopy polyps but tested on skin lesions. The image modality, anatomy, </w:t>
      </w:r>
      <w:proofErr w:type="spellStart"/>
      <w:r w:rsidRPr="005B07C4">
        <w:rPr>
          <w:sz w:val="22"/>
          <w:szCs w:val="22"/>
        </w:rPr>
        <w:t>colour</w:t>
      </w:r>
      <w:proofErr w:type="spellEnd"/>
      <w:r w:rsidRPr="005B07C4">
        <w:rPr>
          <w:sz w:val="22"/>
          <w:szCs w:val="22"/>
        </w:rPr>
        <w:t xml:space="preserve"> distribution and lesion appearance all change. Therefore, this experiment represents an extremely large shift, and all models perform poorly.</w:t>
      </w:r>
    </w:p>
    <w:p w14:paraId="6953C07C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Practical solution:</w:t>
      </w:r>
      <w:r w:rsidRPr="005B07C4">
        <w:rPr>
          <w:sz w:val="22"/>
          <w:szCs w:val="22"/>
        </w:rPr>
        <w:br/>
        <w:t>Test the existing trained models on one or two public polyp datasets without retraining, for example:</w:t>
      </w:r>
    </w:p>
    <w:p w14:paraId="4D0C540D" w14:textId="77777777" w:rsidR="005B07C4" w:rsidRPr="005B07C4" w:rsidRDefault="005B07C4" w:rsidP="005B07C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CVC-</w:t>
      </w:r>
      <w:proofErr w:type="spellStart"/>
      <w:r w:rsidRPr="005B07C4">
        <w:rPr>
          <w:sz w:val="22"/>
          <w:szCs w:val="22"/>
        </w:rPr>
        <w:t>ClinicDB</w:t>
      </w:r>
      <w:proofErr w:type="spellEnd"/>
      <w:r w:rsidRPr="005B07C4">
        <w:rPr>
          <w:sz w:val="22"/>
          <w:szCs w:val="22"/>
        </w:rPr>
        <w:t xml:space="preserve">; </w:t>
      </w:r>
    </w:p>
    <w:p w14:paraId="6D014BFD" w14:textId="77777777" w:rsidR="005B07C4" w:rsidRPr="005B07C4" w:rsidRDefault="005B07C4" w:rsidP="005B07C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CVC-</w:t>
      </w:r>
      <w:proofErr w:type="spellStart"/>
      <w:r w:rsidRPr="005B07C4">
        <w:rPr>
          <w:sz w:val="22"/>
          <w:szCs w:val="22"/>
        </w:rPr>
        <w:t>ColonDB</w:t>
      </w:r>
      <w:proofErr w:type="spellEnd"/>
      <w:r w:rsidRPr="005B07C4">
        <w:rPr>
          <w:sz w:val="22"/>
          <w:szCs w:val="22"/>
        </w:rPr>
        <w:t xml:space="preserve">; </w:t>
      </w:r>
    </w:p>
    <w:p w14:paraId="65CD1DDF" w14:textId="77777777" w:rsidR="005B07C4" w:rsidRPr="005B07C4" w:rsidRDefault="005B07C4" w:rsidP="005B07C4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ETIS-</w:t>
      </w:r>
      <w:proofErr w:type="spellStart"/>
      <w:r w:rsidRPr="005B07C4">
        <w:rPr>
          <w:sz w:val="22"/>
          <w:szCs w:val="22"/>
        </w:rPr>
        <w:t>LaribPolypDB</w:t>
      </w:r>
      <w:proofErr w:type="spellEnd"/>
      <w:r w:rsidRPr="005B07C4">
        <w:rPr>
          <w:sz w:val="22"/>
          <w:szCs w:val="22"/>
        </w:rPr>
        <w:t xml:space="preserve">. </w:t>
      </w:r>
    </w:p>
    <w:p w14:paraId="08FFE2AF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Because the models are already trained, only inference is required. This should be much faster than conducting new training runs.</w:t>
      </w:r>
    </w:p>
    <w:p w14:paraId="5BA811EA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This produces two levels of testing:</w:t>
      </w:r>
    </w:p>
    <w:p w14:paraId="59C41CA4" w14:textId="77777777" w:rsidR="005B07C4" w:rsidRPr="005B07C4" w:rsidRDefault="005B07C4" w:rsidP="005B07C4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External polyp dataset: realistic domain generalization. </w:t>
      </w:r>
    </w:p>
    <w:p w14:paraId="538BA93A" w14:textId="77777777" w:rsidR="005B07C4" w:rsidRPr="005B07C4" w:rsidRDefault="005B07C4" w:rsidP="005B07C4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ISIC: extreme cross-anatomy transfer. </w:t>
      </w:r>
    </w:p>
    <w:p w14:paraId="709247D0" w14:textId="35FA0A28" w:rsidR="005B07C4" w:rsidRPr="005B07C4" w:rsidRDefault="005B07C4" w:rsidP="005B07C4">
      <w:pPr>
        <w:spacing w:after="0"/>
        <w:rPr>
          <w:sz w:val="22"/>
          <w:szCs w:val="22"/>
        </w:rPr>
      </w:pPr>
    </w:p>
    <w:p w14:paraId="36D9ED79" w14:textId="7777777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5. The camouflage teachers are relatively weak</w:t>
      </w:r>
    </w:p>
    <w:p w14:paraId="61781EFC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>The two camouflage teachers have Dice scores of approximately 0.467 and almost identical performance. A reviewer may argue that unsuccessful transfer is caused by weak teachers.</w:t>
      </w:r>
    </w:p>
    <w:p w14:paraId="58499631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Practical solution:</w:t>
      </w:r>
      <w:r w:rsidRPr="005B07C4">
        <w:rPr>
          <w:sz w:val="22"/>
          <w:szCs w:val="22"/>
        </w:rPr>
        <w:br/>
        <w:t>Using a completely new COD architecture could take considerable time. A simpler initial experiment would be:</w:t>
      </w:r>
    </w:p>
    <w:p w14:paraId="1A13BE2E" w14:textId="77777777" w:rsidR="005B07C4" w:rsidRPr="005B07C4" w:rsidRDefault="005B07C4" w:rsidP="005B07C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continue training the better existing teacher for more epochs; </w:t>
      </w:r>
    </w:p>
    <w:p w14:paraId="02739F2A" w14:textId="77777777" w:rsidR="005B07C4" w:rsidRPr="005B07C4" w:rsidRDefault="005B07C4" w:rsidP="005B07C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select its best checkpoint using validation Dice; </w:t>
      </w:r>
    </w:p>
    <w:p w14:paraId="28ADC76E" w14:textId="77777777" w:rsidR="005B07C4" w:rsidRPr="005B07C4" w:rsidRDefault="005B07C4" w:rsidP="005B07C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use the improved checkpoint with the existing G1 architecture; </w:t>
      </w:r>
    </w:p>
    <w:p w14:paraId="2DC89125" w14:textId="77777777" w:rsidR="005B07C4" w:rsidRPr="005B07C4" w:rsidRDefault="005B07C4" w:rsidP="005B07C4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compare it with the original teacher. </w:t>
      </w:r>
    </w:p>
    <w:p w14:paraId="0274FC2E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This would answer:</w:t>
      </w:r>
    </w:p>
    <w:p w14:paraId="5CFB2BFA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Does a stronger version of the same camouflage teacher transfer better?</w:t>
      </w:r>
    </w:p>
    <w:p w14:paraId="2AD309AA" w14:textId="77777777" w:rsid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If no improvement occurs, a stronger published COD model can be considered later.</w:t>
      </w:r>
    </w:p>
    <w:p w14:paraId="29C94D73" w14:textId="77777777" w:rsidR="005B07C4" w:rsidRDefault="005B07C4" w:rsidP="005B07C4">
      <w:pPr>
        <w:spacing w:after="0"/>
        <w:rPr>
          <w:sz w:val="22"/>
          <w:szCs w:val="22"/>
        </w:rPr>
      </w:pPr>
    </w:p>
    <w:p w14:paraId="49B5307D" w14:textId="77777777" w:rsidR="005B07C4" w:rsidRPr="005B07C4" w:rsidRDefault="005B07C4" w:rsidP="005B07C4">
      <w:pPr>
        <w:spacing w:after="0"/>
        <w:rPr>
          <w:sz w:val="22"/>
          <w:szCs w:val="22"/>
        </w:rPr>
      </w:pPr>
    </w:p>
    <w:p w14:paraId="22B4A4C6" w14:textId="7777777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lastRenderedPageBreak/>
        <w:t>6. The fusion method may use too many teacher features</w:t>
      </w:r>
    </w:p>
    <w:p w14:paraId="0721F1D6" w14:textId="180189B4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 xml:space="preserve">Teacher features are currently fused at all five levels. The </w:t>
      </w:r>
      <w:r w:rsidRPr="005B07C4">
        <w:rPr>
          <w:sz w:val="22"/>
          <w:szCs w:val="22"/>
        </w:rPr>
        <w:t>visualization</w:t>
      </w:r>
      <w:r w:rsidRPr="005B07C4">
        <w:rPr>
          <w:sz w:val="22"/>
          <w:szCs w:val="22"/>
        </w:rPr>
        <w:t xml:space="preserve"> indicates that some deeper teacher features do not localize the lesion.</w:t>
      </w:r>
    </w:p>
    <w:p w14:paraId="3C47512B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Easy ablation experiment:</w:t>
      </w:r>
      <w:r w:rsidRPr="005B07C4">
        <w:rPr>
          <w:sz w:val="22"/>
          <w:szCs w:val="22"/>
        </w:rPr>
        <w:br/>
        <w:t>Train only two additional versions:</w:t>
      </w:r>
    </w:p>
    <w:p w14:paraId="1701C1D4" w14:textId="77777777" w:rsidR="005B07C4" w:rsidRPr="005B07C4" w:rsidRDefault="005B07C4" w:rsidP="005B07C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Early fusion:</w:t>
      </w:r>
      <w:r w:rsidRPr="005B07C4">
        <w:rPr>
          <w:sz w:val="22"/>
          <w:szCs w:val="22"/>
        </w:rPr>
        <w:t xml:space="preserve"> guidance at enc1 and enc2 only. </w:t>
      </w:r>
    </w:p>
    <w:p w14:paraId="3975A860" w14:textId="77777777" w:rsidR="005B07C4" w:rsidRPr="005B07C4" w:rsidRDefault="005B07C4" w:rsidP="005B07C4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Deep fusion:</w:t>
      </w:r>
      <w:r w:rsidRPr="005B07C4">
        <w:rPr>
          <w:sz w:val="22"/>
          <w:szCs w:val="22"/>
        </w:rPr>
        <w:t xml:space="preserve"> guidance at enc3, enc4 and bottleneck only. </w:t>
      </w:r>
    </w:p>
    <w:p w14:paraId="71C933DA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Compare them with the current all-level G1.</w:t>
      </w:r>
    </w:p>
    <w:p w14:paraId="4ED72F40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This is simpler than designing an entirely new attention mechanism and can reveal where camouflage information is useful.</w:t>
      </w:r>
    </w:p>
    <w:p w14:paraId="0F031D1E" w14:textId="77777777" w:rsidR="005B07C4" w:rsidRDefault="005B07C4" w:rsidP="005B07C4">
      <w:pPr>
        <w:spacing w:after="0"/>
        <w:rPr>
          <w:b/>
          <w:bCs/>
          <w:sz w:val="22"/>
          <w:szCs w:val="22"/>
        </w:rPr>
      </w:pPr>
    </w:p>
    <w:p w14:paraId="359428F8" w14:textId="0E0C757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7. Models may not have fully converged</w:t>
      </w:r>
    </w:p>
    <w:p w14:paraId="0FF478AE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 xml:space="preserve">The training curves suggest that the models </w:t>
      </w:r>
      <w:proofErr w:type="gramStart"/>
      <w:r w:rsidRPr="005B07C4">
        <w:rPr>
          <w:sz w:val="22"/>
          <w:szCs w:val="22"/>
        </w:rPr>
        <w:t>had</w:t>
      </w:r>
      <w:proofErr w:type="gramEnd"/>
      <w:r w:rsidRPr="005B07C4">
        <w:rPr>
          <w:sz w:val="22"/>
          <w:szCs w:val="22"/>
        </w:rPr>
        <w:t xml:space="preserve"> not completely saturated at 30 epochs. In addition, G2 ran only 29 epochs due to a session limit.</w:t>
      </w:r>
    </w:p>
    <w:p w14:paraId="30C662BC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Practical solution:</w:t>
      </w:r>
    </w:p>
    <w:p w14:paraId="45C690A0" w14:textId="77777777" w:rsidR="005B07C4" w:rsidRPr="005B07C4" w:rsidRDefault="005B07C4" w:rsidP="005B07C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Extend the maximum training to 50 epochs. </w:t>
      </w:r>
    </w:p>
    <w:p w14:paraId="6DA72B28" w14:textId="77777777" w:rsidR="005B07C4" w:rsidRPr="005B07C4" w:rsidRDefault="005B07C4" w:rsidP="005B07C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Use the same early-stopping rule for all models. </w:t>
      </w:r>
    </w:p>
    <w:p w14:paraId="412F7FFD" w14:textId="77777777" w:rsidR="005B07C4" w:rsidRPr="005B07C4" w:rsidRDefault="005B07C4" w:rsidP="005B07C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Save the best validation checkpoint. </w:t>
      </w:r>
    </w:p>
    <w:p w14:paraId="564DDA76" w14:textId="77777777" w:rsidR="005B07C4" w:rsidRPr="005B07C4" w:rsidRDefault="005B07C4" w:rsidP="005B07C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Repeat only the main four models first. </w:t>
      </w:r>
    </w:p>
    <w:p w14:paraId="03C2BAA3" w14:textId="77777777" w:rsidR="005B07C4" w:rsidRPr="005B07C4" w:rsidRDefault="005B07C4" w:rsidP="005B07C4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Restart the incomplete G2 run only if it remains important to the final paper. </w:t>
      </w:r>
    </w:p>
    <w:p w14:paraId="607EA38E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Since early stopping is already implemented, models that converge early will not use all 50 epochs.</w:t>
      </w:r>
    </w:p>
    <w:p w14:paraId="35A9EEAB" w14:textId="77777777" w:rsidR="005B07C4" w:rsidRDefault="005B07C4" w:rsidP="005B07C4">
      <w:pPr>
        <w:spacing w:after="0"/>
        <w:rPr>
          <w:b/>
          <w:bCs/>
          <w:sz w:val="22"/>
          <w:szCs w:val="22"/>
        </w:rPr>
      </w:pPr>
    </w:p>
    <w:p w14:paraId="2DECB82D" w14:textId="0580B4EF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8. Only basic segmentation architectures are used</w:t>
      </w:r>
    </w:p>
    <w:p w14:paraId="6D625788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>U-Net and Attention U-Net may be considered insufficient for comparison with recent methods.</w:t>
      </w:r>
    </w:p>
    <w:p w14:paraId="70C4FDA8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Low-effort solution:</w:t>
      </w:r>
      <w:r w:rsidRPr="005B07C4">
        <w:rPr>
          <w:sz w:val="22"/>
          <w:szCs w:val="22"/>
        </w:rPr>
        <w:br/>
        <w:t>Add only one modern baseline instead of many. Suitable options include:</w:t>
      </w:r>
    </w:p>
    <w:p w14:paraId="5043FC9B" w14:textId="77777777" w:rsidR="005B07C4" w:rsidRPr="005B07C4" w:rsidRDefault="005B07C4" w:rsidP="005B07C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DeepLabV3+; </w:t>
      </w:r>
    </w:p>
    <w:p w14:paraId="5B3EB9C6" w14:textId="77777777" w:rsidR="005B07C4" w:rsidRPr="005B07C4" w:rsidRDefault="005B07C4" w:rsidP="005B07C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U-Net++; </w:t>
      </w:r>
    </w:p>
    <w:p w14:paraId="1069B740" w14:textId="77777777" w:rsidR="005B07C4" w:rsidRPr="005B07C4" w:rsidRDefault="005B07C4" w:rsidP="005B07C4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SegFormer-B0. </w:t>
      </w:r>
    </w:p>
    <w:p w14:paraId="42A7CF51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If implementation time is limited, DeepLabV3+ or U-Net++ would be simpler. Train it as a normal medical-segmentation model without camouflage guidance.</w:t>
      </w:r>
    </w:p>
    <w:p w14:paraId="3AC931B0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The purpose is to show how the proposed guided models compare with a stronger standard architecture.</w:t>
      </w:r>
    </w:p>
    <w:p w14:paraId="5890F309" w14:textId="77777777" w:rsidR="005B07C4" w:rsidRDefault="005B07C4" w:rsidP="005B07C4">
      <w:pPr>
        <w:spacing w:after="0"/>
        <w:rPr>
          <w:b/>
          <w:bCs/>
          <w:sz w:val="22"/>
          <w:szCs w:val="22"/>
        </w:rPr>
      </w:pPr>
    </w:p>
    <w:p w14:paraId="608640C7" w14:textId="5335F8A7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9. G4 behaves inconsistently</w:t>
      </w:r>
    </w:p>
    <w:p w14:paraId="19700E3A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>G4 is the best model on Kvasir but the worst model on ISIC. With only one run, it is unclear whether this is a real pattern or an unstable training result.</w:t>
      </w:r>
    </w:p>
    <w:p w14:paraId="7ADE8B2D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lastRenderedPageBreak/>
        <w:t>Practical solution:</w:t>
      </w:r>
      <w:r w:rsidRPr="005B07C4">
        <w:rPr>
          <w:sz w:val="22"/>
          <w:szCs w:val="22"/>
        </w:rPr>
        <w:br/>
        <w:t>Do not perform a large investigation immediately. Repeat only G4 with two additional seeds.</w:t>
      </w:r>
    </w:p>
    <w:p w14:paraId="468E41D2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If it remains strong in-domain and poor out-of-domain, this becomes an important result. If the result changes greatly, report G4 as unstable.</w:t>
      </w:r>
    </w:p>
    <w:p w14:paraId="680972EC" w14:textId="77777777" w:rsidR="005B07C4" w:rsidRDefault="005B07C4" w:rsidP="005B07C4">
      <w:pPr>
        <w:spacing w:after="0"/>
        <w:rPr>
          <w:b/>
          <w:bCs/>
          <w:sz w:val="22"/>
          <w:szCs w:val="22"/>
        </w:rPr>
      </w:pPr>
    </w:p>
    <w:p w14:paraId="6A3F72E9" w14:textId="600E14E4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 xml:space="preserve">10. Feature </w:t>
      </w:r>
      <w:r w:rsidRPr="005B07C4">
        <w:rPr>
          <w:b/>
          <w:bCs/>
          <w:sz w:val="22"/>
          <w:szCs w:val="22"/>
        </w:rPr>
        <w:t>visualization</w:t>
      </w:r>
      <w:r w:rsidRPr="005B07C4">
        <w:rPr>
          <w:b/>
          <w:bCs/>
          <w:sz w:val="22"/>
          <w:szCs w:val="22"/>
        </w:rPr>
        <w:t xml:space="preserve"> is based mainly on one image</w:t>
      </w:r>
    </w:p>
    <w:p w14:paraId="1F283DEC" w14:textId="368421AB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 xml:space="preserve">One example can illustrate the </w:t>
      </w:r>
      <w:r w:rsidRPr="005B07C4">
        <w:rPr>
          <w:sz w:val="22"/>
          <w:szCs w:val="22"/>
        </w:rPr>
        <w:t>behavior</w:t>
      </w:r>
      <w:r w:rsidRPr="005B07C4">
        <w:rPr>
          <w:sz w:val="22"/>
          <w:szCs w:val="22"/>
        </w:rPr>
        <w:t xml:space="preserve"> but cannot demonstrate that it occurs consistently.</w:t>
      </w:r>
    </w:p>
    <w:p w14:paraId="65DC4213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Low-cost solution:</w:t>
      </w:r>
    </w:p>
    <w:p w14:paraId="4DDFCDB6" w14:textId="77777777" w:rsidR="005B07C4" w:rsidRPr="005B07C4" w:rsidRDefault="005B07C4" w:rsidP="005B07C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Select 10–20 Kvasir test images. </w:t>
      </w:r>
    </w:p>
    <w:p w14:paraId="1DE38DCB" w14:textId="239936F1" w:rsidR="005B07C4" w:rsidRPr="005B07C4" w:rsidRDefault="005B07C4" w:rsidP="005B07C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Generate the same feature </w:t>
      </w:r>
      <w:r w:rsidRPr="005B07C4">
        <w:rPr>
          <w:sz w:val="22"/>
          <w:szCs w:val="22"/>
        </w:rPr>
        <w:t>visualization</w:t>
      </w:r>
      <w:r w:rsidRPr="005B07C4">
        <w:rPr>
          <w:sz w:val="22"/>
          <w:szCs w:val="22"/>
        </w:rPr>
        <w:t xml:space="preserve"> for G1 and G1R. </w:t>
      </w:r>
    </w:p>
    <w:p w14:paraId="3DC373F2" w14:textId="77777777" w:rsidR="005B07C4" w:rsidRPr="005B07C4" w:rsidRDefault="005B07C4" w:rsidP="005B07C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Calculate the average activation variance for each teacher level. </w:t>
      </w:r>
    </w:p>
    <w:p w14:paraId="0E43E488" w14:textId="77777777" w:rsidR="005B07C4" w:rsidRPr="005B07C4" w:rsidRDefault="005B07C4" w:rsidP="005B07C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Calculate the cosine similarity between teacher and student features. </w:t>
      </w:r>
    </w:p>
    <w:p w14:paraId="5DA2F22C" w14:textId="77777777" w:rsidR="005B07C4" w:rsidRPr="005B07C4" w:rsidRDefault="005B07C4" w:rsidP="005B07C4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 xml:space="preserve">Present one figure and one small summary table. </w:t>
      </w:r>
    </w:p>
    <w:p w14:paraId="19883CB6" w14:textId="77777777" w:rsidR="005B07C4" w:rsidRDefault="005B07C4" w:rsidP="005B07C4">
      <w:pPr>
        <w:spacing w:after="0"/>
        <w:rPr>
          <w:b/>
          <w:bCs/>
          <w:sz w:val="22"/>
          <w:szCs w:val="22"/>
        </w:rPr>
      </w:pPr>
    </w:p>
    <w:p w14:paraId="112FAEF7" w14:textId="47DD8D72" w:rsidR="005B07C4" w:rsidRPr="005B07C4" w:rsidRDefault="005B07C4" w:rsidP="005B07C4">
      <w:pPr>
        <w:spacing w:after="0"/>
        <w:rPr>
          <w:b/>
          <w:bCs/>
          <w:sz w:val="22"/>
          <w:szCs w:val="22"/>
        </w:rPr>
      </w:pPr>
      <w:r w:rsidRPr="005B07C4">
        <w:rPr>
          <w:b/>
          <w:bCs/>
          <w:sz w:val="22"/>
          <w:szCs w:val="22"/>
        </w:rPr>
        <w:t>11. The main claims are stronger than the evidence</w:t>
      </w:r>
    </w:p>
    <w:p w14:paraId="6D57EEA1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Problem:</w:t>
      </w:r>
      <w:r w:rsidRPr="005B07C4">
        <w:rPr>
          <w:sz w:val="22"/>
          <w:szCs w:val="22"/>
        </w:rPr>
        <w:br/>
        <w:t>Expressions such as:</w:t>
      </w:r>
    </w:p>
    <w:p w14:paraId="616A7978" w14:textId="77777777" w:rsidR="005B07C4" w:rsidRPr="005B07C4" w:rsidRDefault="005B07C4" w:rsidP="005B07C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“</w:t>
      </w:r>
      <w:proofErr w:type="gramStart"/>
      <w:r w:rsidRPr="005B07C4">
        <w:rPr>
          <w:sz w:val="22"/>
          <w:szCs w:val="22"/>
        </w:rPr>
        <w:t>real</w:t>
      </w:r>
      <w:proofErr w:type="gramEnd"/>
      <w:r w:rsidRPr="005B07C4">
        <w:rPr>
          <w:sz w:val="22"/>
          <w:szCs w:val="22"/>
        </w:rPr>
        <w:t xml:space="preserve"> transferable value”; </w:t>
      </w:r>
    </w:p>
    <w:p w14:paraId="4CC2C87C" w14:textId="77777777" w:rsidR="005B07C4" w:rsidRPr="005B07C4" w:rsidRDefault="005B07C4" w:rsidP="005B07C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“</w:t>
      </w:r>
      <w:proofErr w:type="gramStart"/>
      <w:r w:rsidRPr="005B07C4">
        <w:rPr>
          <w:sz w:val="22"/>
          <w:szCs w:val="22"/>
        </w:rPr>
        <w:t>the</w:t>
      </w:r>
      <w:proofErr w:type="gramEnd"/>
      <w:r w:rsidRPr="005B07C4">
        <w:rPr>
          <w:sz w:val="22"/>
          <w:szCs w:val="22"/>
        </w:rPr>
        <w:t xml:space="preserve"> transfer is real”; </w:t>
      </w:r>
    </w:p>
    <w:p w14:paraId="6792195B" w14:textId="77777777" w:rsidR="005B07C4" w:rsidRPr="005B07C4" w:rsidRDefault="005B07C4" w:rsidP="005B07C4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“</w:t>
      </w:r>
      <w:proofErr w:type="gramStart"/>
      <w:r w:rsidRPr="005B07C4">
        <w:rPr>
          <w:sz w:val="22"/>
          <w:szCs w:val="22"/>
        </w:rPr>
        <w:t>domain</w:t>
      </w:r>
      <w:proofErr w:type="gramEnd"/>
      <w:r w:rsidRPr="005B07C4">
        <w:rPr>
          <w:sz w:val="22"/>
          <w:szCs w:val="22"/>
        </w:rPr>
        <w:t xml:space="preserve">-neutral </w:t>
      </w:r>
      <w:proofErr w:type="spellStart"/>
      <w:r w:rsidRPr="005B07C4">
        <w:rPr>
          <w:sz w:val="22"/>
          <w:szCs w:val="22"/>
        </w:rPr>
        <w:t>regulariser</w:t>
      </w:r>
      <w:proofErr w:type="spellEnd"/>
      <w:r w:rsidRPr="005B07C4">
        <w:rPr>
          <w:sz w:val="22"/>
          <w:szCs w:val="22"/>
        </w:rPr>
        <w:t xml:space="preserve">” </w:t>
      </w:r>
    </w:p>
    <w:p w14:paraId="6AE3AFDE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sound like confirmed conclusions. Currently, they are interpretations based on one seed.</w:t>
      </w:r>
    </w:p>
    <w:p w14:paraId="3BDEC27F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b/>
          <w:bCs/>
          <w:sz w:val="22"/>
          <w:szCs w:val="22"/>
        </w:rPr>
        <w:t>Simple solution:</w:t>
      </w:r>
      <w:r w:rsidRPr="005B07C4">
        <w:rPr>
          <w:sz w:val="22"/>
          <w:szCs w:val="22"/>
        </w:rPr>
        <w:br/>
        <w:t>Until the additional experiments are complete, use cautious language:</w:t>
      </w:r>
    </w:p>
    <w:p w14:paraId="6BD85CDF" w14:textId="77777777" w:rsidR="005B07C4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The results suggest that camouflage-pretrained features may be less harmful under severe distribution shift than random frozen features.</w:t>
      </w:r>
    </w:p>
    <w:p w14:paraId="0ADEB80B" w14:textId="077B53BB" w:rsidR="00CA7B58" w:rsidRPr="005B07C4" w:rsidRDefault="005B07C4" w:rsidP="005B07C4">
      <w:pPr>
        <w:spacing w:after="0"/>
        <w:rPr>
          <w:sz w:val="22"/>
          <w:szCs w:val="22"/>
        </w:rPr>
      </w:pPr>
      <w:r w:rsidRPr="005B07C4">
        <w:rPr>
          <w:sz w:val="22"/>
          <w:szCs w:val="22"/>
        </w:rPr>
        <w:t>After multiple seeds and direct testing, stronger claims may be used if supported.</w:t>
      </w:r>
    </w:p>
    <w:sectPr w:rsidR="00CA7B58" w:rsidRPr="005B0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7EC"/>
    <w:multiLevelType w:val="multilevel"/>
    <w:tmpl w:val="BFC0C9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D02D5"/>
    <w:multiLevelType w:val="multilevel"/>
    <w:tmpl w:val="835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54278"/>
    <w:multiLevelType w:val="multilevel"/>
    <w:tmpl w:val="863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44C01"/>
    <w:multiLevelType w:val="multilevel"/>
    <w:tmpl w:val="F3F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07DE0"/>
    <w:multiLevelType w:val="multilevel"/>
    <w:tmpl w:val="B66C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0D2213"/>
    <w:multiLevelType w:val="multilevel"/>
    <w:tmpl w:val="D9B456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E2472"/>
    <w:multiLevelType w:val="multilevel"/>
    <w:tmpl w:val="CF2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1212D"/>
    <w:multiLevelType w:val="multilevel"/>
    <w:tmpl w:val="FC92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14967"/>
    <w:multiLevelType w:val="multilevel"/>
    <w:tmpl w:val="54A0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B5C26"/>
    <w:multiLevelType w:val="multilevel"/>
    <w:tmpl w:val="C9B2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C222D7"/>
    <w:multiLevelType w:val="multilevel"/>
    <w:tmpl w:val="AED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B6A39"/>
    <w:multiLevelType w:val="multilevel"/>
    <w:tmpl w:val="9FAE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B025D"/>
    <w:multiLevelType w:val="multilevel"/>
    <w:tmpl w:val="AAD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E3414"/>
    <w:multiLevelType w:val="multilevel"/>
    <w:tmpl w:val="384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16A1E"/>
    <w:multiLevelType w:val="multilevel"/>
    <w:tmpl w:val="872E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2243E"/>
    <w:multiLevelType w:val="multilevel"/>
    <w:tmpl w:val="4A28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642028">
    <w:abstractNumId w:val="13"/>
  </w:num>
  <w:num w:numId="2" w16cid:durableId="278924184">
    <w:abstractNumId w:val="14"/>
  </w:num>
  <w:num w:numId="3" w16cid:durableId="1039548403">
    <w:abstractNumId w:val="15"/>
  </w:num>
  <w:num w:numId="4" w16cid:durableId="1364865782">
    <w:abstractNumId w:val="8"/>
  </w:num>
  <w:num w:numId="5" w16cid:durableId="1016542295">
    <w:abstractNumId w:val="11"/>
  </w:num>
  <w:num w:numId="6" w16cid:durableId="444619042">
    <w:abstractNumId w:val="6"/>
  </w:num>
  <w:num w:numId="7" w16cid:durableId="974457399">
    <w:abstractNumId w:val="7"/>
  </w:num>
  <w:num w:numId="8" w16cid:durableId="580798283">
    <w:abstractNumId w:val="3"/>
  </w:num>
  <w:num w:numId="9" w16cid:durableId="1677341462">
    <w:abstractNumId w:val="12"/>
  </w:num>
  <w:num w:numId="10" w16cid:durableId="492111431">
    <w:abstractNumId w:val="2"/>
  </w:num>
  <w:num w:numId="11" w16cid:durableId="85931349">
    <w:abstractNumId w:val="1"/>
  </w:num>
  <w:num w:numId="12" w16cid:durableId="321934603">
    <w:abstractNumId w:val="10"/>
  </w:num>
  <w:num w:numId="13" w16cid:durableId="1753089338">
    <w:abstractNumId w:val="9"/>
  </w:num>
  <w:num w:numId="14" w16cid:durableId="636572143">
    <w:abstractNumId w:val="4"/>
  </w:num>
  <w:num w:numId="15" w16cid:durableId="573667730">
    <w:abstractNumId w:val="0"/>
  </w:num>
  <w:num w:numId="16" w16cid:durableId="8259026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BC"/>
    <w:rsid w:val="00464FBC"/>
    <w:rsid w:val="005B07C4"/>
    <w:rsid w:val="005C3287"/>
    <w:rsid w:val="00AD6670"/>
    <w:rsid w:val="00BF39AF"/>
    <w:rsid w:val="00C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67F8"/>
  <w15:chartTrackingRefBased/>
  <w15:docId w15:val="{AE2C35E5-1187-4C22-AC39-EA882A70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979</Words>
  <Characters>5584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Naresh Shivhare</dc:creator>
  <cp:keywords/>
  <dc:description/>
  <cp:lastModifiedBy>Shiv Naresh Shivhare</cp:lastModifiedBy>
  <cp:revision>2</cp:revision>
  <dcterms:created xsi:type="dcterms:W3CDTF">2026-09-17T08:45:00Z</dcterms:created>
  <dcterms:modified xsi:type="dcterms:W3CDTF">2026-09-17T08:54:00Z</dcterms:modified>
</cp:coreProperties>
</file>