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AFADC" w14:textId="77777777" w:rsidR="00A36BB5" w:rsidRDefault="00000000">
      <w:pPr>
        <w:pStyle w:val="Heading1"/>
      </w:pPr>
      <w:r>
        <w:t xml:space="preserve">Understanding </w:t>
      </w:r>
      <w:proofErr w:type="spellStart"/>
      <w:r>
        <w:t>add_encoders</w:t>
      </w:r>
      <w:proofErr w:type="spellEnd"/>
      <w:r>
        <w:t xml:space="preserve"> in TFT (Darts)</w:t>
      </w:r>
    </w:p>
    <w:p w14:paraId="7FF6BCDC" w14:textId="77777777" w:rsidR="00A36BB5" w:rsidRDefault="00000000">
      <w:pPr>
        <w:spacing w:after="160"/>
      </w:pPr>
      <w:r>
        <w:t xml:space="preserve">The model currently does not know the concept of time. It does not know if a certain date it is capturing is February of 2023 or January of 2025. In order to enable that understanding, the TFT implementation in the Darts library provides an argument called </w:t>
      </w:r>
      <w:proofErr w:type="spellStart"/>
      <w:r>
        <w:t>add_encoders</w:t>
      </w:r>
      <w:proofErr w:type="spellEnd"/>
      <w:r>
        <w:t>. Below is a detailed explanation of each key within this dictionary.</w:t>
      </w:r>
    </w:p>
    <w:p w14:paraId="37B83630" w14:textId="77777777" w:rsidR="00A36BB5" w:rsidRDefault="00000000">
      <w:pPr>
        <w:spacing w:before="160" w:after="80"/>
      </w:pPr>
      <w:r>
        <w:rPr>
          <w:b/>
          <w:bCs/>
        </w:rPr>
        <w:t>Configuration:</w:t>
      </w:r>
    </w:p>
    <w:p w14:paraId="3103A96D" w14:textId="77777777" w:rsidR="00A36BB5" w:rsidRDefault="00000000">
      <w:pPr>
        <w:pBdr>
          <w:left w:val="single" w:sz="6" w:space="12" w:color="2E75B6"/>
        </w:pBdr>
        <w:spacing w:after="240"/>
        <w:ind w:left="480"/>
      </w:pPr>
      <w:proofErr w:type="spellStart"/>
      <w:r>
        <w:rPr>
          <w:rFonts w:ascii="Courier New" w:eastAsia="Courier New" w:hAnsi="Courier New" w:cs="Courier New"/>
          <w:color w:val="2E2E2E"/>
          <w:sz w:val="20"/>
          <w:szCs w:val="20"/>
        </w:rPr>
        <w:t>add_encoders</w:t>
      </w:r>
      <w:proofErr w:type="spellEnd"/>
      <w:r>
        <w:rPr>
          <w:rFonts w:ascii="Courier New" w:eastAsia="Courier New" w:hAnsi="Courier New" w:cs="Courier New"/>
          <w:color w:val="2E2E2E"/>
          <w:sz w:val="20"/>
          <w:szCs w:val="20"/>
        </w:rPr>
        <w:t xml:space="preserve"> = {</w:t>
      </w:r>
    </w:p>
    <w:p w14:paraId="74879A34" w14:textId="77777777" w:rsidR="00A36BB5" w:rsidRDefault="00000000">
      <w:pPr>
        <w:pBdr>
          <w:left w:val="single" w:sz="6" w:space="12" w:color="2E75B6"/>
        </w:pBdr>
        <w:ind w:left="480"/>
      </w:pPr>
      <w:r>
        <w:rPr>
          <w:rFonts w:ascii="Courier New" w:eastAsia="Courier New" w:hAnsi="Courier New" w:cs="Courier New"/>
          <w:color w:val="2E2E2E"/>
          <w:sz w:val="20"/>
          <w:szCs w:val="20"/>
        </w:rPr>
        <w:t xml:space="preserve">    'cyclic': {'future': ['month'], 'past': ['month']},</w:t>
      </w:r>
    </w:p>
    <w:p w14:paraId="1133B468" w14:textId="77777777" w:rsidR="00A36BB5" w:rsidRDefault="00000000">
      <w:pPr>
        <w:pBdr>
          <w:left w:val="single" w:sz="6" w:space="12" w:color="2E75B6"/>
        </w:pBdr>
        <w:ind w:left="480"/>
      </w:pPr>
      <w:r>
        <w:rPr>
          <w:rFonts w:ascii="Courier New" w:eastAsia="Courier New" w:hAnsi="Courier New" w:cs="Courier New"/>
          <w:color w:val="2E2E2E"/>
          <w:sz w:val="20"/>
          <w:szCs w:val="20"/>
        </w:rPr>
        <w:t xml:space="preserve">    'position': {'past': ['relative'], 'future': ['relative']},</w:t>
      </w:r>
    </w:p>
    <w:p w14:paraId="079CA279" w14:textId="77777777" w:rsidR="00A36BB5" w:rsidRDefault="00000000">
      <w:pPr>
        <w:pBdr>
          <w:left w:val="single" w:sz="6" w:space="12" w:color="2E75B6"/>
        </w:pBdr>
        <w:ind w:left="480"/>
      </w:pPr>
      <w:r>
        <w:rPr>
          <w:rFonts w:ascii="Courier New" w:eastAsia="Courier New" w:hAnsi="Courier New" w:cs="Courier New"/>
          <w:color w:val="2E2E2E"/>
          <w:sz w:val="20"/>
          <w:szCs w:val="20"/>
        </w:rPr>
        <w:t xml:space="preserve">    'custom': {'past': [</w:t>
      </w:r>
      <w:proofErr w:type="spellStart"/>
      <w:r>
        <w:rPr>
          <w:rFonts w:ascii="Courier New" w:eastAsia="Courier New" w:hAnsi="Courier New" w:cs="Courier New"/>
          <w:color w:val="2E2E2E"/>
          <w:sz w:val="20"/>
          <w:szCs w:val="20"/>
        </w:rPr>
        <w:t>encode_year</w:t>
      </w:r>
      <w:proofErr w:type="spellEnd"/>
      <w:r>
        <w:rPr>
          <w:rFonts w:ascii="Courier New" w:eastAsia="Courier New" w:hAnsi="Courier New" w:cs="Courier New"/>
          <w:color w:val="2E2E2E"/>
          <w:sz w:val="20"/>
          <w:szCs w:val="20"/>
        </w:rPr>
        <w:t>], 'future': [</w:t>
      </w:r>
      <w:proofErr w:type="spellStart"/>
      <w:r>
        <w:rPr>
          <w:rFonts w:ascii="Courier New" w:eastAsia="Courier New" w:hAnsi="Courier New" w:cs="Courier New"/>
          <w:color w:val="2E2E2E"/>
          <w:sz w:val="20"/>
          <w:szCs w:val="20"/>
        </w:rPr>
        <w:t>encode_year</w:t>
      </w:r>
      <w:proofErr w:type="spellEnd"/>
      <w:r>
        <w:rPr>
          <w:rFonts w:ascii="Courier New" w:eastAsia="Courier New" w:hAnsi="Courier New" w:cs="Courier New"/>
          <w:color w:val="2E2E2E"/>
          <w:sz w:val="20"/>
          <w:szCs w:val="20"/>
        </w:rPr>
        <w:t>]},</w:t>
      </w:r>
    </w:p>
    <w:p w14:paraId="1F11A146" w14:textId="77777777" w:rsidR="00A36BB5" w:rsidRDefault="00000000">
      <w:pPr>
        <w:pBdr>
          <w:left w:val="single" w:sz="6" w:space="12" w:color="2E75B6"/>
        </w:pBdr>
        <w:ind w:left="480"/>
      </w:pPr>
      <w:r>
        <w:rPr>
          <w:rFonts w:ascii="Courier New" w:eastAsia="Courier New" w:hAnsi="Courier New" w:cs="Courier New"/>
          <w:color w:val="2E2E2E"/>
          <w:sz w:val="20"/>
          <w:szCs w:val="20"/>
        </w:rPr>
        <w:t xml:space="preserve">    'transformer': Scaler(),</w:t>
      </w:r>
    </w:p>
    <w:p w14:paraId="0264BF71" w14:textId="77777777" w:rsidR="00A36BB5" w:rsidRDefault="00000000">
      <w:pPr>
        <w:pBdr>
          <w:left w:val="single" w:sz="6" w:space="12" w:color="2E75B6"/>
        </w:pBdr>
        <w:spacing w:after="240"/>
        <w:ind w:left="480"/>
      </w:pPr>
      <w:r>
        <w:rPr>
          <w:rFonts w:ascii="Courier New" w:eastAsia="Courier New" w:hAnsi="Courier New" w:cs="Courier New"/>
          <w:color w:val="2E2E2E"/>
          <w:sz w:val="20"/>
          <w:szCs w:val="20"/>
        </w:rPr>
        <w:t xml:space="preserve">    '</w:t>
      </w:r>
      <w:proofErr w:type="spellStart"/>
      <w:r>
        <w:rPr>
          <w:rFonts w:ascii="Courier New" w:eastAsia="Courier New" w:hAnsi="Courier New" w:cs="Courier New"/>
          <w:color w:val="2E2E2E"/>
          <w:sz w:val="20"/>
          <w:szCs w:val="20"/>
        </w:rPr>
        <w:t>tz</w:t>
      </w:r>
      <w:proofErr w:type="spellEnd"/>
      <w:r>
        <w:rPr>
          <w:rFonts w:ascii="Courier New" w:eastAsia="Courier New" w:hAnsi="Courier New" w:cs="Courier New"/>
          <w:color w:val="2E2E2E"/>
          <w:sz w:val="20"/>
          <w:szCs w:val="20"/>
        </w:rPr>
        <w:t>': 'Asia/Kolkata'</w:t>
      </w:r>
    </w:p>
    <w:p w14:paraId="6E1110B0" w14:textId="77777777" w:rsidR="00A36BB5" w:rsidRDefault="00000000">
      <w:pPr>
        <w:pStyle w:val="Heading2"/>
      </w:pPr>
      <w:r>
        <w:t>1. The past and future Keys</w:t>
      </w:r>
    </w:p>
    <w:p w14:paraId="1FBA2A73" w14:textId="77777777" w:rsidR="00A36BB5" w:rsidRDefault="00000000">
      <w:pPr>
        <w:spacing w:after="120"/>
      </w:pPr>
      <w:r>
        <w:t>The past and future keys within each encoder specify which covariate type the generated feature should be attached to. The reason they are given as both past and future is because:</w:t>
      </w:r>
    </w:p>
    <w:p w14:paraId="43FB4795" w14:textId="77777777" w:rsidR="00A36BB5" w:rsidRDefault="00000000">
      <w:pPr>
        <w:pStyle w:val="ListParagraph"/>
        <w:numPr>
          <w:ilvl w:val="0"/>
          <w:numId w:val="2"/>
        </w:numPr>
        <w:spacing w:after="80"/>
      </w:pPr>
      <w:r>
        <w:rPr>
          <w:b/>
          <w:bCs/>
        </w:rPr>
        <w:t xml:space="preserve">As past covariates </w:t>
      </w:r>
      <w:r>
        <w:t>— they inform the LSTM Encoder about the temporal context of each historical time step</w:t>
      </w:r>
    </w:p>
    <w:p w14:paraId="19F5F5C0" w14:textId="77777777" w:rsidR="00A36BB5" w:rsidRDefault="00000000">
      <w:pPr>
        <w:pStyle w:val="ListParagraph"/>
        <w:numPr>
          <w:ilvl w:val="0"/>
          <w:numId w:val="2"/>
        </w:numPr>
        <w:spacing w:after="160"/>
      </w:pPr>
      <w:r>
        <w:rPr>
          <w:b/>
          <w:bCs/>
        </w:rPr>
        <w:t xml:space="preserve">As future covariates </w:t>
      </w:r>
      <w:r>
        <w:t>— they inform the LSTM Decoder about the temporal context of each future forecast horizon</w:t>
      </w:r>
    </w:p>
    <w:p w14:paraId="0BE17955" w14:textId="77777777" w:rsidR="00A36BB5" w:rsidRDefault="00000000">
      <w:pPr>
        <w:pStyle w:val="Heading2"/>
      </w:pPr>
      <w:r>
        <w:t>2. Cyclic Encoding (cyclic key)</w:t>
      </w:r>
    </w:p>
    <w:p w14:paraId="63F8564B" w14:textId="77777777" w:rsidR="00A36BB5" w:rsidRDefault="00000000">
      <w:pPr>
        <w:spacing w:after="120"/>
      </w:pPr>
      <w:r>
        <w:t>This helps encode the month obtained from the datetime index in cyclic format. Because January (1) and December (12) are separated by 11 units numerically but are actually adjacent months, cyclic encoding retains that adjacency.</w:t>
      </w:r>
    </w:p>
    <w:p w14:paraId="49135FBA" w14:textId="77777777" w:rsidR="00A36BB5" w:rsidRDefault="00000000">
      <w:pPr>
        <w:spacing w:after="80"/>
      </w:pPr>
      <w:r>
        <w:rPr>
          <w:b/>
          <w:bCs/>
        </w:rPr>
        <w:t>Formula:</w:t>
      </w:r>
    </w:p>
    <w:p w14:paraId="074C2C4E" w14:textId="77777777" w:rsidR="00A36BB5" w:rsidRDefault="00000000">
      <w:pPr>
        <w:spacing w:after="80"/>
        <w:ind w:left="480"/>
      </w:pPr>
      <w:proofErr w:type="spellStart"/>
      <w:r>
        <w:rPr>
          <w:rFonts w:ascii="Courier New" w:eastAsia="Courier New" w:hAnsi="Courier New" w:cs="Courier New"/>
          <w:sz w:val="22"/>
          <w:szCs w:val="22"/>
        </w:rPr>
        <w:t>month_sin</w:t>
      </w:r>
      <w:proofErr w:type="spellEnd"/>
      <w:r>
        <w:rPr>
          <w:rFonts w:ascii="Courier New" w:eastAsia="Courier New" w:hAnsi="Courier New" w:cs="Courier New"/>
          <w:sz w:val="22"/>
          <w:szCs w:val="22"/>
        </w:rPr>
        <w:t xml:space="preserve"> = Sin(2π × t / T)</w:t>
      </w:r>
    </w:p>
    <w:p w14:paraId="104C55A0" w14:textId="77777777" w:rsidR="00A36BB5" w:rsidRDefault="00000000">
      <w:pPr>
        <w:spacing w:after="160"/>
        <w:ind w:left="480"/>
      </w:pPr>
      <w:proofErr w:type="spellStart"/>
      <w:r>
        <w:rPr>
          <w:rFonts w:ascii="Courier New" w:eastAsia="Courier New" w:hAnsi="Courier New" w:cs="Courier New"/>
          <w:sz w:val="22"/>
          <w:szCs w:val="22"/>
        </w:rPr>
        <w:t>month_cos</w:t>
      </w:r>
      <w:proofErr w:type="spellEnd"/>
      <w:r>
        <w:rPr>
          <w:rFonts w:ascii="Courier New" w:eastAsia="Courier New" w:hAnsi="Courier New" w:cs="Courier New"/>
          <w:sz w:val="22"/>
          <w:szCs w:val="22"/>
        </w:rPr>
        <w:t xml:space="preserve"> = Cos(2π × t / T)</w:t>
      </w:r>
    </w:p>
    <w:p w14:paraId="5B7D91D2" w14:textId="77777777" w:rsidR="00A36BB5" w:rsidRDefault="00000000">
      <w:pPr>
        <w:spacing w:after="80"/>
      </w:pPr>
      <w:r>
        <w:t xml:space="preserve">Where </w:t>
      </w:r>
      <w:proofErr w:type="spellStart"/>
      <w:r>
        <w:t>t</w:t>
      </w:r>
      <w:proofErr w:type="spellEnd"/>
      <w:r>
        <w:t xml:space="preserve"> is the value of the month (1–12) and T = 12. These two coordinates map each month onto a point on the unit circle, preserving the circular adjacency between months.</w:t>
      </w:r>
    </w:p>
    <w:p w14:paraId="7B50160E" w14:textId="77777777" w:rsidR="00A36BB5" w:rsidRDefault="00000000">
      <w:pPr>
        <w:spacing w:after="80"/>
      </w:pPr>
      <w:r>
        <w:rPr>
          <w:b/>
          <w:bCs/>
        </w:rPr>
        <w:t>Why both sine and cosine are needed:</w:t>
      </w:r>
    </w:p>
    <w:p w14:paraId="4A6AFF16" w14:textId="05765511" w:rsidR="00D42FC2" w:rsidRDefault="00000000">
      <w:pPr>
        <w:spacing w:after="160"/>
      </w:pPr>
      <w:r>
        <w:t>Using only sine creates ambiguity — for example, January and May both produce a sine value of +0.5. Adding cosine breaks this ambiguity: January gives cos = +0.866 while May gives cos = −0.866. Together, every month has a unique (sin, cos) pair, making it uniquely identifiable while preserving circular adjacency.</w:t>
      </w:r>
    </w:p>
    <w:p w14:paraId="27AA2094" w14:textId="77777777" w:rsidR="00D42FC2" w:rsidRDefault="00D42FC2">
      <w:r>
        <w:br w:type="page"/>
      </w:r>
    </w:p>
    <w:p w14:paraId="041DC760" w14:textId="77777777" w:rsidR="00A36BB5" w:rsidRDefault="00A36BB5">
      <w:pPr>
        <w:spacing w:after="160"/>
      </w:pPr>
    </w:p>
    <w:p w14:paraId="05C8CD55" w14:textId="77777777" w:rsidR="00A36BB5" w:rsidRDefault="00000000">
      <w:pPr>
        <w:pStyle w:val="Heading2"/>
      </w:pPr>
      <w:r>
        <w:t>3. Position Encoding (position key)</w:t>
      </w:r>
    </w:p>
    <w:p w14:paraId="0379DD4C" w14:textId="77777777" w:rsidR="00A36BB5" w:rsidRDefault="00000000">
      <w:pPr>
        <w:spacing w:after="120"/>
      </w:pPr>
      <w:r>
        <w:t>This helps the model learn where each time step is relative to the forecast origin — the last known data point. Cyclic encoding tells the model what month it is; position encoding tells the model how far that month is from where the forecast begins.</w:t>
      </w:r>
    </w:p>
    <w:p w14:paraId="752B4E8D" w14:textId="77777777" w:rsidR="00A36BB5" w:rsidRDefault="00000000">
      <w:pPr>
        <w:spacing w:after="80"/>
      </w:pPr>
      <w:r>
        <w:rPr>
          <w:b/>
          <w:bCs/>
        </w:rPr>
        <w:t>Why it matters:</w:t>
      </w:r>
    </w:p>
    <w:p w14:paraId="19715BEE" w14:textId="77777777" w:rsidR="00A36BB5" w:rsidRDefault="00000000">
      <w:pPr>
        <w:spacing w:after="120"/>
      </w:pPr>
      <w:r>
        <w:t>The attention mechanism needs to answer: “which past months should I look at most carefully when forecasting?” To answer that, it needs to know distances. Without position encoding, all past time steps appear equidistant — the model cannot learn distance-based patterns.</w:t>
      </w:r>
    </w:p>
    <w:p w14:paraId="2CE071BC" w14:textId="77777777" w:rsidR="00A36BB5" w:rsidRDefault="00000000">
      <w:pPr>
        <w:spacing w:after="80"/>
      </w:pPr>
      <w:r>
        <w:rPr>
          <w:b/>
          <w:bCs/>
        </w:rPr>
        <w:t>Example:</w:t>
      </w:r>
    </w:p>
    <w:p w14:paraId="3977FC95" w14:textId="77777777" w:rsidR="00A36BB5" w:rsidRDefault="00000000">
      <w:pPr>
        <w:spacing w:after="80"/>
      </w:pPr>
      <w:r>
        <w:t>Say the forecast origin is October 2025 with 60 months of history going back to October 2020. The model knows April 2021 is April and belongs to 2021 — but without position encoding, it does not know that April 2021 is 54 months behind the forecast origin.</w:t>
      </w:r>
    </w:p>
    <w:p w14:paraId="4B21BE50" w14:textId="77777777" w:rsidR="00A36BB5" w:rsidRDefault="00000000">
      <w:pPr>
        <w:spacing w:after="80"/>
      </w:pPr>
      <w:r>
        <w:t>With position encoding, each time step is stamped with its distance:</w:t>
      </w:r>
    </w:p>
    <w:p w14:paraId="688EE943" w14:textId="77777777" w:rsidR="00A36BB5" w:rsidRDefault="00000000">
      <w:pPr>
        <w:pStyle w:val="ListParagraph"/>
        <w:numPr>
          <w:ilvl w:val="0"/>
          <w:numId w:val="2"/>
        </w:numPr>
        <w:spacing w:after="60"/>
      </w:pPr>
      <w:r>
        <w:t>October 2020 → position −60</w:t>
      </w:r>
    </w:p>
    <w:p w14:paraId="4D97A640" w14:textId="77777777" w:rsidR="00A36BB5" w:rsidRDefault="00000000">
      <w:pPr>
        <w:pStyle w:val="ListParagraph"/>
        <w:numPr>
          <w:ilvl w:val="0"/>
          <w:numId w:val="2"/>
        </w:numPr>
        <w:spacing w:after="60"/>
      </w:pPr>
      <w:r>
        <w:t>September 2025 → position −1</w:t>
      </w:r>
    </w:p>
    <w:p w14:paraId="4DD1C934" w14:textId="77777777" w:rsidR="00A36BB5" w:rsidRDefault="00000000">
      <w:pPr>
        <w:pStyle w:val="ListParagraph"/>
        <w:numPr>
          <w:ilvl w:val="0"/>
          <w:numId w:val="2"/>
        </w:numPr>
        <w:spacing w:after="60"/>
      </w:pPr>
      <w:r>
        <w:t>November 2025 → position +1</w:t>
      </w:r>
    </w:p>
    <w:p w14:paraId="0420B593" w14:textId="77777777" w:rsidR="00A36BB5" w:rsidRDefault="00000000">
      <w:pPr>
        <w:pStyle w:val="ListParagraph"/>
        <w:numPr>
          <w:ilvl w:val="0"/>
          <w:numId w:val="2"/>
        </w:numPr>
        <w:spacing w:after="160"/>
      </w:pPr>
      <w:r>
        <w:t>December 2025 → position +2</w:t>
      </w:r>
    </w:p>
    <w:p w14:paraId="75E2682B" w14:textId="77777777" w:rsidR="00A36BB5" w:rsidRDefault="00000000">
      <w:pPr>
        <w:spacing w:after="160"/>
      </w:pPr>
      <w:r>
        <w:t>The model can now learn that position −12 (last year's festive season) deserves extra attention when forecasting festive months.</w:t>
      </w:r>
    </w:p>
    <w:p w14:paraId="09C33A6D" w14:textId="77777777" w:rsidR="00A36BB5" w:rsidRDefault="00000000">
      <w:pPr>
        <w:pStyle w:val="Heading2"/>
      </w:pPr>
      <w:r>
        <w:t xml:space="preserve">4. Year Encoding (custom key — </w:t>
      </w:r>
      <w:proofErr w:type="spellStart"/>
      <w:r>
        <w:t>encode_year</w:t>
      </w:r>
      <w:proofErr w:type="spellEnd"/>
      <w:r>
        <w:t>)</w:t>
      </w:r>
    </w:p>
    <w:p w14:paraId="21A5245E" w14:textId="77777777" w:rsidR="00A36BB5" w:rsidRDefault="00000000">
      <w:pPr>
        <w:spacing w:after="120"/>
      </w:pPr>
      <w:r>
        <w:t>This helps the model know what year each time step belongs to, enabling it to capture long-term trends or declines across years. Without this, the model treats October 2022 and October 2025 as identical — same cyclic month encoding, same relative position if both are -12 from their respective forecast origins.</w:t>
      </w:r>
    </w:p>
    <w:p w14:paraId="5770E989" w14:textId="77777777" w:rsidR="00A36BB5" w:rsidRDefault="00000000">
      <w:pPr>
        <w:spacing w:after="80"/>
      </w:pPr>
      <w:r>
        <w:rPr>
          <w:b/>
          <w:bCs/>
        </w:rPr>
        <w:t>Formula:</w:t>
      </w:r>
    </w:p>
    <w:p w14:paraId="21BC203C" w14:textId="77777777" w:rsidR="00A36BB5" w:rsidRDefault="00000000">
      <w:pPr>
        <w:spacing w:after="160"/>
        <w:ind w:left="480"/>
      </w:pPr>
      <w:proofErr w:type="spellStart"/>
      <w:r>
        <w:rPr>
          <w:rFonts w:ascii="Courier New" w:eastAsia="Courier New" w:hAnsi="Courier New" w:cs="Courier New"/>
          <w:sz w:val="22"/>
          <w:szCs w:val="22"/>
        </w:rPr>
        <w:t>encoded_year</w:t>
      </w:r>
      <w:proofErr w:type="spellEnd"/>
      <w:r>
        <w:rPr>
          <w:rFonts w:ascii="Courier New" w:eastAsia="Courier New" w:hAnsi="Courier New" w:cs="Courier New"/>
          <w:sz w:val="22"/>
          <w:szCs w:val="22"/>
        </w:rPr>
        <w:t xml:space="preserve"> = (year − 1950) / 50</w:t>
      </w:r>
    </w:p>
    <w:p w14:paraId="492D741D" w14:textId="77777777" w:rsidR="00A36BB5" w:rsidRDefault="00000000">
      <w:pPr>
        <w:spacing w:after="80"/>
      </w:pPr>
      <w:r>
        <w:rPr>
          <w:b/>
          <w:bCs/>
        </w:rPr>
        <w:t>Why normalization is needed:</w:t>
      </w:r>
    </w:p>
    <w:p w14:paraId="6FCC5FF6" w14:textId="77777777" w:rsidR="00A36BB5" w:rsidRDefault="00000000">
      <w:pPr>
        <w:spacing w:after="80"/>
      </w:pPr>
      <w:r>
        <w:t>Without normalization, raw year values like 2022, 2023, 2024 would be in the thousands, while cyclic month encodings are between −1 and +1. The year feature would numerically dominate simply due to its scale — not because it carries more information. Normalizing brings it into a consistent range:</w:t>
      </w:r>
    </w:p>
    <w:p w14:paraId="0E8A61FF" w14:textId="77777777" w:rsidR="00A36BB5" w:rsidRDefault="00000000">
      <w:pPr>
        <w:pStyle w:val="ListParagraph"/>
        <w:numPr>
          <w:ilvl w:val="0"/>
          <w:numId w:val="2"/>
        </w:numPr>
        <w:spacing w:after="60"/>
      </w:pPr>
      <w:r>
        <w:t>2022 → 1.44</w:t>
      </w:r>
    </w:p>
    <w:p w14:paraId="6DDE3067" w14:textId="77777777" w:rsidR="00A36BB5" w:rsidRDefault="00000000">
      <w:pPr>
        <w:pStyle w:val="ListParagraph"/>
        <w:numPr>
          <w:ilvl w:val="0"/>
          <w:numId w:val="2"/>
        </w:numPr>
        <w:spacing w:after="60"/>
      </w:pPr>
      <w:r>
        <w:t>2023 → 1.46</w:t>
      </w:r>
    </w:p>
    <w:p w14:paraId="7FF3C52B" w14:textId="77777777" w:rsidR="00A36BB5" w:rsidRDefault="00000000">
      <w:pPr>
        <w:pStyle w:val="ListParagraph"/>
        <w:numPr>
          <w:ilvl w:val="0"/>
          <w:numId w:val="2"/>
        </w:numPr>
        <w:spacing w:after="160"/>
      </w:pPr>
      <w:r>
        <w:t>2025 → 1.50</w:t>
      </w:r>
    </w:p>
    <w:p w14:paraId="45DFF63C" w14:textId="77777777" w:rsidR="00A36BB5" w:rsidRDefault="00000000">
      <w:pPr>
        <w:spacing w:after="160"/>
      </w:pPr>
      <w:r>
        <w:lastRenderedPageBreak/>
        <w:t xml:space="preserve">The </w:t>
      </w:r>
      <w:proofErr w:type="spellStart"/>
      <w:r>
        <w:t>encode_year</w:t>
      </w:r>
      <w:proofErr w:type="spellEnd"/>
      <w:r>
        <w:t xml:space="preserve"> function does not assume trend is always upward. It simply provides a monotonically increasing signal — the model learns from data whether forward movement in time means more sales, fewer sales, or something more complex.</w:t>
      </w:r>
    </w:p>
    <w:p w14:paraId="3BF64020" w14:textId="77777777" w:rsidR="00A36BB5" w:rsidRDefault="00000000">
      <w:pPr>
        <w:pStyle w:val="Heading2"/>
      </w:pPr>
      <w:r>
        <w:t>Summary: What Each Encoder Tells the Model</w:t>
      </w:r>
    </w:p>
    <w:p w14:paraId="7106EDC7" w14:textId="77777777" w:rsidR="00A36BB5" w:rsidRDefault="00000000">
      <w:pPr>
        <w:spacing w:after="80"/>
      </w:pPr>
      <w:r>
        <w:t>All three encoders together give the model complete temporal awareness:</w:t>
      </w:r>
    </w:p>
    <w:p w14:paraId="31DCE98C" w14:textId="77777777" w:rsidR="00A36BB5" w:rsidRDefault="00000000">
      <w:pPr>
        <w:pStyle w:val="ListParagraph"/>
        <w:numPr>
          <w:ilvl w:val="0"/>
          <w:numId w:val="2"/>
        </w:numPr>
        <w:spacing w:after="80"/>
      </w:pPr>
      <w:r>
        <w:rPr>
          <w:b/>
          <w:bCs/>
        </w:rPr>
        <w:t xml:space="preserve">Cyclic month encoding </w:t>
      </w:r>
      <w:r>
        <w:t>— What time of year this step is (January vs October vs December)</w:t>
      </w:r>
    </w:p>
    <w:p w14:paraId="02F87C40" w14:textId="77777777" w:rsidR="00A36BB5" w:rsidRDefault="00000000">
      <w:pPr>
        <w:pStyle w:val="ListParagraph"/>
        <w:numPr>
          <w:ilvl w:val="0"/>
          <w:numId w:val="2"/>
        </w:numPr>
        <w:spacing w:after="80"/>
      </w:pPr>
      <w:r>
        <w:rPr>
          <w:b/>
          <w:bCs/>
        </w:rPr>
        <w:t xml:space="preserve">Position encoding </w:t>
      </w:r>
      <w:r>
        <w:t>— How far this step is from the forecast origin (−12, −1, +2 etc.)</w:t>
      </w:r>
    </w:p>
    <w:p w14:paraId="11C3554E" w14:textId="77777777" w:rsidR="00A36BB5" w:rsidRDefault="00000000">
      <w:pPr>
        <w:pStyle w:val="ListParagraph"/>
        <w:numPr>
          <w:ilvl w:val="0"/>
          <w:numId w:val="2"/>
        </w:numPr>
        <w:spacing w:after="160"/>
      </w:pPr>
      <w:r>
        <w:rPr>
          <w:b/>
          <w:bCs/>
        </w:rPr>
        <w:t xml:space="preserve">Year encoding </w:t>
      </w:r>
      <w:r>
        <w:t>— What year this step belongs to (2022 vs 2023 vs 2025)</w:t>
      </w:r>
    </w:p>
    <w:p w14:paraId="0DAC51B5" w14:textId="77777777" w:rsidR="00A36BB5" w:rsidRDefault="00000000">
      <w:pPr>
        <w:spacing w:after="80"/>
      </w:pPr>
      <w:r>
        <w:rPr>
          <w:i/>
          <w:iCs/>
        </w:rPr>
        <w:t>Each answers a completely different question about time. None can substitute for the others.</w:t>
      </w:r>
    </w:p>
    <w:sectPr w:rsidR="00A36BB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433B7"/>
    <w:multiLevelType w:val="hybridMultilevel"/>
    <w:tmpl w:val="76B45030"/>
    <w:lvl w:ilvl="0" w:tplc="C77C9238">
      <w:start w:val="1"/>
      <w:numFmt w:val="bullet"/>
      <w:lvlText w:val="•"/>
      <w:lvlJc w:val="left"/>
      <w:pPr>
        <w:ind w:left="720" w:hanging="360"/>
      </w:pPr>
    </w:lvl>
    <w:lvl w:ilvl="1" w:tplc="1494EF7E">
      <w:numFmt w:val="decimal"/>
      <w:lvlText w:val=""/>
      <w:lvlJc w:val="left"/>
    </w:lvl>
    <w:lvl w:ilvl="2" w:tplc="4DE6D38C">
      <w:numFmt w:val="decimal"/>
      <w:lvlText w:val=""/>
      <w:lvlJc w:val="left"/>
    </w:lvl>
    <w:lvl w:ilvl="3" w:tplc="1A242494">
      <w:numFmt w:val="decimal"/>
      <w:lvlText w:val=""/>
      <w:lvlJc w:val="left"/>
    </w:lvl>
    <w:lvl w:ilvl="4" w:tplc="A274AF86">
      <w:numFmt w:val="decimal"/>
      <w:lvlText w:val=""/>
      <w:lvlJc w:val="left"/>
    </w:lvl>
    <w:lvl w:ilvl="5" w:tplc="27566AC4">
      <w:numFmt w:val="decimal"/>
      <w:lvlText w:val=""/>
      <w:lvlJc w:val="left"/>
    </w:lvl>
    <w:lvl w:ilvl="6" w:tplc="80FCB64A">
      <w:numFmt w:val="decimal"/>
      <w:lvlText w:val=""/>
      <w:lvlJc w:val="left"/>
    </w:lvl>
    <w:lvl w:ilvl="7" w:tplc="D166AFEA">
      <w:numFmt w:val="decimal"/>
      <w:lvlText w:val=""/>
      <w:lvlJc w:val="left"/>
    </w:lvl>
    <w:lvl w:ilvl="8" w:tplc="44D06E46">
      <w:numFmt w:val="decimal"/>
      <w:lvlText w:val=""/>
      <w:lvlJc w:val="left"/>
    </w:lvl>
  </w:abstractNum>
  <w:abstractNum w:abstractNumId="1" w15:restartNumberingAfterBreak="0">
    <w:nsid w:val="514808E7"/>
    <w:multiLevelType w:val="hybridMultilevel"/>
    <w:tmpl w:val="E4728AF8"/>
    <w:lvl w:ilvl="0" w:tplc="E0221AA6">
      <w:start w:val="1"/>
      <w:numFmt w:val="bullet"/>
      <w:lvlText w:val="●"/>
      <w:lvlJc w:val="left"/>
      <w:pPr>
        <w:ind w:left="720" w:hanging="360"/>
      </w:pPr>
    </w:lvl>
    <w:lvl w:ilvl="1" w:tplc="B3762272">
      <w:start w:val="1"/>
      <w:numFmt w:val="bullet"/>
      <w:lvlText w:val="○"/>
      <w:lvlJc w:val="left"/>
      <w:pPr>
        <w:ind w:left="1440" w:hanging="360"/>
      </w:pPr>
    </w:lvl>
    <w:lvl w:ilvl="2" w:tplc="ECA2C0F0">
      <w:start w:val="1"/>
      <w:numFmt w:val="bullet"/>
      <w:lvlText w:val="■"/>
      <w:lvlJc w:val="left"/>
      <w:pPr>
        <w:ind w:left="2160" w:hanging="360"/>
      </w:pPr>
    </w:lvl>
    <w:lvl w:ilvl="3" w:tplc="3F40FABA">
      <w:start w:val="1"/>
      <w:numFmt w:val="bullet"/>
      <w:lvlText w:val="●"/>
      <w:lvlJc w:val="left"/>
      <w:pPr>
        <w:ind w:left="2880" w:hanging="360"/>
      </w:pPr>
    </w:lvl>
    <w:lvl w:ilvl="4" w:tplc="5C7EDAE6">
      <w:start w:val="1"/>
      <w:numFmt w:val="bullet"/>
      <w:lvlText w:val="○"/>
      <w:lvlJc w:val="left"/>
      <w:pPr>
        <w:ind w:left="3600" w:hanging="360"/>
      </w:pPr>
    </w:lvl>
    <w:lvl w:ilvl="5" w:tplc="5A341272">
      <w:start w:val="1"/>
      <w:numFmt w:val="bullet"/>
      <w:lvlText w:val="■"/>
      <w:lvlJc w:val="left"/>
      <w:pPr>
        <w:ind w:left="4320" w:hanging="360"/>
      </w:pPr>
    </w:lvl>
    <w:lvl w:ilvl="6" w:tplc="F2822190">
      <w:start w:val="1"/>
      <w:numFmt w:val="bullet"/>
      <w:lvlText w:val="●"/>
      <w:lvlJc w:val="left"/>
      <w:pPr>
        <w:ind w:left="5040" w:hanging="360"/>
      </w:pPr>
    </w:lvl>
    <w:lvl w:ilvl="7" w:tplc="17EE61F2">
      <w:start w:val="1"/>
      <w:numFmt w:val="bullet"/>
      <w:lvlText w:val="●"/>
      <w:lvlJc w:val="left"/>
      <w:pPr>
        <w:ind w:left="5760" w:hanging="360"/>
      </w:pPr>
    </w:lvl>
    <w:lvl w:ilvl="8" w:tplc="FB6A9E9C">
      <w:start w:val="1"/>
      <w:numFmt w:val="bullet"/>
      <w:lvlText w:val="●"/>
      <w:lvlJc w:val="left"/>
      <w:pPr>
        <w:ind w:left="6480" w:hanging="360"/>
      </w:pPr>
    </w:lvl>
  </w:abstractNum>
  <w:abstractNum w:abstractNumId="2" w15:restartNumberingAfterBreak="0">
    <w:nsid w:val="53F17C6D"/>
    <w:multiLevelType w:val="hybridMultilevel"/>
    <w:tmpl w:val="70B083FE"/>
    <w:lvl w:ilvl="0" w:tplc="383A863A">
      <w:start w:val="1"/>
      <w:numFmt w:val="bullet"/>
      <w:lvlText w:val="◦"/>
      <w:lvlJc w:val="left"/>
      <w:pPr>
        <w:ind w:left="1080" w:hanging="360"/>
      </w:pPr>
    </w:lvl>
    <w:lvl w:ilvl="1" w:tplc="BE96039A">
      <w:numFmt w:val="decimal"/>
      <w:lvlText w:val=""/>
      <w:lvlJc w:val="left"/>
    </w:lvl>
    <w:lvl w:ilvl="2" w:tplc="748EF152">
      <w:numFmt w:val="decimal"/>
      <w:lvlText w:val=""/>
      <w:lvlJc w:val="left"/>
    </w:lvl>
    <w:lvl w:ilvl="3" w:tplc="8A6818C2">
      <w:numFmt w:val="decimal"/>
      <w:lvlText w:val=""/>
      <w:lvlJc w:val="left"/>
    </w:lvl>
    <w:lvl w:ilvl="4" w:tplc="3E8E26B2">
      <w:numFmt w:val="decimal"/>
      <w:lvlText w:val=""/>
      <w:lvlJc w:val="left"/>
    </w:lvl>
    <w:lvl w:ilvl="5" w:tplc="E10C3990">
      <w:numFmt w:val="decimal"/>
      <w:lvlText w:val=""/>
      <w:lvlJc w:val="left"/>
    </w:lvl>
    <w:lvl w:ilvl="6" w:tplc="D3086854">
      <w:numFmt w:val="decimal"/>
      <w:lvlText w:val=""/>
      <w:lvlJc w:val="left"/>
    </w:lvl>
    <w:lvl w:ilvl="7" w:tplc="D1D8CD02">
      <w:numFmt w:val="decimal"/>
      <w:lvlText w:val=""/>
      <w:lvlJc w:val="left"/>
    </w:lvl>
    <w:lvl w:ilvl="8" w:tplc="72021C48">
      <w:numFmt w:val="decimal"/>
      <w:lvlText w:val=""/>
      <w:lvlJc w:val="left"/>
    </w:lvl>
  </w:abstractNum>
  <w:num w:numId="1" w16cid:durableId="1910841358">
    <w:abstractNumId w:val="1"/>
    <w:lvlOverride w:ilvl="0">
      <w:startOverride w:val="1"/>
    </w:lvlOverride>
  </w:num>
  <w:num w:numId="2" w16cid:durableId="415445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BB5"/>
    <w:rsid w:val="0006311A"/>
    <w:rsid w:val="006A20D9"/>
    <w:rsid w:val="00A36BB5"/>
    <w:rsid w:val="00D42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0E3B"/>
  <w15:docId w15:val="{1F6BA975-AD7D-4474-B432-52F7AD30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8"/>
      <w:szCs w:val="28"/>
    </w:rPr>
  </w:style>
  <w:style w:type="paragraph" w:styleId="Heading3">
    <w:name w:val="heading 3"/>
    <w:uiPriority w:val="9"/>
    <w:semiHidden/>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3</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Saxena</cp:lastModifiedBy>
  <cp:revision>2</cp:revision>
  <dcterms:created xsi:type="dcterms:W3CDTF">2026-04-14T08:19:00Z</dcterms:created>
  <dcterms:modified xsi:type="dcterms:W3CDTF">2026-04-14T14:37:00Z</dcterms:modified>
</cp:coreProperties>
</file>