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F3864"/>
          <w:sz w:val="40"/>
          <w:szCs w:val="40"/>
        </w:rPr>
        <w:t xml:space="preserve">TFT Net Sales Forecasting</w:t>
      </w:r>
    </w:p>
    <w:p>
      <w:pPr>
        <w:spacing w:after="80"/>
      </w:pPr>
      <w:r>
        <w:rPr>
          <w:rFonts w:ascii="Arial" w:cs="Arial" w:eastAsia="Arial" w:hAnsi="Arial"/>
          <w:b/>
          <w:bCs/>
          <w:color w:val="4472C4"/>
          <w:sz w:val="32"/>
          <w:szCs w:val="32"/>
        </w:rPr>
        <w:t xml:space="preserve">Model Development — Process &amp; Feature Documentation</w:t>
      </w:r>
    </w:p>
    <w:p>
      <w:pPr>
        <w:spacing w:after="80"/>
      </w:pPr>
      <w:r>
        <w:rPr>
          <w:rFonts w:ascii="Arial" w:cs="Arial" w:eastAsia="Arial" w:hAnsi="Arial"/>
          <w:i/>
          <w:iCs/>
          <w:color w:val="808080"/>
          <w:sz w:val="20"/>
          <w:szCs w:val="20"/>
        </w:rPr>
        <w:t xml:space="preserve">Date: June 3, 2026   |   Status: Internal Reference</w:t>
      </w:r>
    </w:p>
    <w:p>
      <w:pPr>
        <w:pBdr>
          <w:bottom w:val="single" w:color="2E75B6" w:sz="6" w:space="1"/>
        </w:pBdr>
        <w:spacing w:after="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 Overview</w:t>
      </w:r>
    </w:p>
    <w:p>
      <w:pPr>
        <w:spacing w:after="200"/>
      </w:pPr>
      <w:r>
        <w:rPr>
          <w:rFonts w:ascii="Arial" w:cs="Arial" w:eastAsia="Arial" w:hAnsi="Arial"/>
          <w:sz w:val="22"/>
          <w:szCs w:val="22"/>
        </w:rPr>
        <w:t xml:space="preserve">This document provides a complete technical reference for the Temporal Fusion Transformer (TFT) model developed to forecast monthly NET_SALES across dealer-model-family series. It covers the data preparation logic, feature inventory, scaling pipeline, model architecture, training configuration, and inference process.</w:t>
      </w:r>
    </w:p>
    <w:p>
      <w:pPr>
        <w:pStyle w:val="Heading2"/>
      </w:pPr>
      <w:r>
        <w:rPr>
          <w:rFonts w:ascii="Arial" w:cs="Arial" w:eastAsia="Arial" w:hAnsi="Arial"/>
          <w:b/>
          <w:bCs/>
          <w:color w:val="2E75B6"/>
          <w:sz w:val="28"/>
          <w:szCs w:val="28"/>
        </w:rPr>
        <w:t xml:space="preserve">2. Data Source and Preparation</w:t>
      </w:r>
    </w:p>
    <w:p>
      <w:pPr>
        <w:pStyle w:val="Heading3"/>
      </w:pPr>
      <w:r>
        <w:rPr>
          <w:rFonts w:ascii="Arial" w:cs="Arial" w:eastAsia="Arial" w:hAnsi="Arial"/>
          <w:b/>
          <w:bCs/>
          <w:color w:val="1F3864"/>
          <w:sz w:val="24"/>
          <w:szCs w:val="24"/>
        </w:rPr>
        <w:t xml:space="preserve">2.1  Source Data</w:t>
      </w:r>
    </w:p>
    <w:p>
      <w:pPr>
        <w:spacing w:after="120"/>
      </w:pPr>
      <w:r>
        <w:rPr>
          <w:rFonts w:ascii="Arial" w:cs="Arial" w:eastAsia="Arial" w:hAnsi="Arial"/>
          <w:sz w:val="22"/>
          <w:szCs w:val="22"/>
        </w:rPr>
        <w:t xml:space="preserve">The model is trained on a filtered CSV file containing monthly dealer-level sales data:</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Filtered_data_for_training.csv</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Index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MONTH_OF_SALE  (DatetimeIndex, parsed on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Granularity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 row per dealer-model-family per month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Frequency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(Month-Start,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Grouping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PARENT_DEALER_CODE_MODEL_FAMILY</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2.2  Column Classification</w:t>
      </w:r>
    </w:p>
    <w:p>
      <w:pPr>
        <w:spacing w:after="120"/>
      </w:pPr>
      <w:r>
        <w:rPr>
          <w:rFonts w:ascii="Arial" w:cs="Arial" w:eastAsia="Arial" w:hAnsi="Arial"/>
          <w:sz w:val="22"/>
          <w:szCs w:val="22"/>
        </w:rPr>
        <w:t xml:space="preserve">On load the columns are automatically classified into three groups based on their data types: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Selection Logic</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Numeric 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select_dtypes(include=['number'])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Becomes the target variable (NET_SALES) and future covariates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Datetime columns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select_dtypes(include=['datetime'])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 dimension — used as the series index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String 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select_dtypes(exclude=['number','datetime'])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covariates — dealer and vehicle identifiers</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2.3  Minimum Series Length — The 15-Month Rule</w:t>
      </w:r>
    </w:p>
    <w:p>
      <w:pPr>
        <w:spacing w:after="120"/>
      </w:pPr>
      <w:r>
        <w:rPr>
          <w:rFonts w:ascii="Arial" w:cs="Arial" w:eastAsia="Arial" w:hAnsi="Arial"/>
          <w:b/>
          <w:bCs/>
          <w:sz w:val="22"/>
          <w:szCs w:val="22"/>
        </w:rPr>
        <w:t xml:space="preserve">Logic: </w:t>
      </w:r>
      <w:r>
        <w:rPr>
          <w:rFonts w:ascii="Arial" w:cs="Arial" w:eastAsia="Arial" w:hAnsi="Arial"/>
          <w:sz w:val="22"/>
          <w:szCs w:val="22"/>
        </w:rPr>
        <w:t xml:space="preserve">Only series with a minimum of 15 months of data are included in training. This threshold is the direct sum of two model hyperparameters: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input_chunk_length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model looks back 12 months of historical data per forecast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output_chunk_length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model forecasts 3 months ahead in a single pass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Minimum required  (sum)</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15</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At least one complete training sample requires 12 months of input and 3 months of target — totalling 15 contiguous months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series shorter than 15 months cannot produce even a single valid (input → target) training pair. Including such series would cause the DataLoader to skip them entirely or raise an error. The 15-month filter ensures every series that enters training can contribute at least one sample to the loss.</w:t>
      </w:r>
    </w:p>
    <w:p>
      <w:pPr>
        <w:spacing w:after="200"/>
      </w:pPr>
      <w:r>
        <w:rPr>
          <w:rFonts w:ascii="Arial" w:cs="Arial" w:eastAsia="Arial" w:hAnsi="Arial"/>
          <w:sz w:val="22"/>
          <w:szCs w:val="22"/>
        </w:rPr>
        <w:t xml:space="preserve"/>
      </w:r>
    </w:p>
    <w:p>
      <w:r>
        <w:br w:type="page"/>
      </w:r>
    </w:p>
    <w:p>
      <w:pPr>
        <w:pStyle w:val="Heading2"/>
      </w:pPr>
      <w:r>
        <w:rPr>
          <w:rFonts w:ascii="Arial" w:cs="Arial" w:eastAsia="Arial" w:hAnsi="Arial"/>
          <w:b/>
          <w:bCs/>
          <w:color w:val="2E75B6"/>
          <w:sz w:val="28"/>
          <w:szCs w:val="28"/>
        </w:rPr>
        <w:t xml:space="preserve">3. Feature Inventory</w:t>
      </w:r>
    </w:p>
    <w:p>
      <w:pPr>
        <w:pStyle w:val="Heading3"/>
      </w:pPr>
      <w:r>
        <w:rPr>
          <w:rFonts w:ascii="Arial" w:cs="Arial" w:eastAsia="Arial" w:hAnsi="Arial"/>
          <w:b/>
          <w:bCs/>
          <w:color w:val="1F3864"/>
          <w:sz w:val="24"/>
          <w:szCs w:val="24"/>
        </w:rPr>
        <w:t xml:space="preserve">3.1  Target Variable</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NET_SALES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 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net sales value per dealer-model-family series. This is the variable the model is trained to forecast.</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3.2  Future Covariates  (49 total)</w:t>
      </w:r>
    </w:p>
    <w:p>
      <w:pPr>
        <w:spacing w:after="120"/>
      </w:pPr>
      <w:r>
        <w:rPr>
          <w:rFonts w:ascii="Arial" w:cs="Arial" w:eastAsia="Arial" w:hAnsi="Arial"/>
          <w:sz w:val="22"/>
          <w:szCs w:val="22"/>
        </w:rPr>
        <w:t xml:space="preserve">Future covariates are features whose values are available for both the historical lookback window and the forecast horizon. The model's decoder uses these at each of the 3 forecast steps. They are split into four categories:</w:t>
      </w:r>
    </w:p>
    <w:p>
      <w:pPr>
        <w:spacing w:after="140"/>
      </w:pPr>
      <w:r>
        <w:rPr>
          <w:rFonts w:ascii="Arial" w:cs="Arial" w:eastAsia="Arial" w:hAnsi="Arial"/>
          <w:sz w:val="22"/>
          <w:szCs w:val="22"/>
        </w:rPr>
        <w:t xml:space="preserve"/>
      </w:r>
    </w:p>
    <w:p>
      <w:pPr>
        <w:pStyle w:val="Heading4"/>
      </w:pPr>
      <w:r>
        <w:rPr>
          <w:rFonts w:ascii="Arial" w:cs="Arial" w:eastAsia="Arial" w:hAnsi="Arial"/>
          <w:b/>
          <w:bCs/>
          <w:color w:val="4472C4"/>
          <w:sz w:val="22"/>
          <w:szCs w:val="22"/>
        </w:rPr>
        <w:t xml:space="preserve">Category A — Individual Festival Flags  (32 columns, binary 0/1)</w:t>
      </w:r>
    </w:p>
    <w:p>
      <w:pPr>
        <w:spacing w:after="120"/>
      </w:pPr>
      <w:r>
        <w:rPr>
          <w:rFonts w:ascii="Arial" w:cs="Arial" w:eastAsia="Arial" w:hAnsi="Arial"/>
          <w:sz w:val="22"/>
          <w:szCs w:val="22"/>
        </w:rPr>
        <w:t xml:space="preserve">Each column is set to 1 in the calendar month(s) that specific festival falls in, and 0 otherwise. All 35,000+ series share the same festival flag value for any given month (festival dates are calendar-based, not series-specific).</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DUSSEHRA_(VIJAYADASHAMI)_DAYS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LOHRI_DAYS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AKSHAYA_TRITIYA_DAYS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MAHA_SHIVARATRI_DAYS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BHAI_DOOJ_DAYS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MAKAR_SANKRANTI_PONGAL_DAYS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BUDDHA_PURNIMA_DAYS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NAG_PANCHAMI_DAYS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CHHATH_PUJA_DAYS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NAVRATRI_DAYS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DHANTERAS_DAYS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NEW_YEAR_DAYS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DIWALI_DAYS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ONAM_DAYS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EID_UL_FITR_DAYS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PITRAPAKSHA_DAYS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GANESH_CHATURTHI_DAYS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RAKSHA_BANDHAN_DAYS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GANGA_DUSSEHRA_DAYS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REPUBLIC_DAY_DAYS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GOVARDHAN_POOJA_DAYS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VASANT_PANCHAMI_DAYS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GURU_PURNIMA_DAYS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VISHWAKARMA_PUJA_DAYS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HANUMAN_JAYANTI_DAYS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HOLI_DAYS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HARTALIK_TEEJ_DAYS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HOLIKA_DAHAN_DAYS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JAGANNATH_RATHYATRA_DAYS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JANMASHTAMI_DAYS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KARWA_CHAUTH_DAYS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MARRIAGE_DAYS</w:t>
            </w:r>
          </w:p>
        </w:tc>
      </w:tr>
    </w:tbl>
    <w:p>
      <w:pPr>
        <w:spacing w:after="60"/>
      </w:pPr>
      <w:r>
        <w:rPr>
          <w:rFonts w:ascii="Arial" w:cs="Arial" w:eastAsia="Arial" w:hAnsi="Arial"/>
          <w:sz w:val="22"/>
          <w:szCs w:val="22"/>
        </w:rPr>
        <w:t xml:space="preserve"/>
      </w:r>
    </w:p>
    <w:p>
      <w:pPr>
        <w:spacing w:after="200"/>
      </w:pPr>
      <w:r>
        <w:rPr>
          <w:rFonts w:ascii="Arial" w:cs="Arial" w:eastAsia="Arial" w:hAnsi="Arial"/>
          <w:b/>
          <w:bCs/>
          <w:sz w:val="22"/>
          <w:szCs w:val="22"/>
        </w:rPr>
        <w:t xml:space="preserve">Note: </w:t>
      </w:r>
      <w:r>
        <w:rPr>
          <w:rFonts w:ascii="Arial" w:cs="Arial" w:eastAsia="Arial" w:hAnsi="Arial"/>
          <w:sz w:val="22"/>
          <w:szCs w:val="22"/>
        </w:rPr>
        <w:t xml:space="preserve">MARRIAGE_DAYS is continuous (count of auspicious marriage days in that month), not binary.</w:t>
      </w:r>
    </w:p>
    <w:p>
      <w:pPr>
        <w:pStyle w:val="Heading4"/>
      </w:pPr>
      <w:r>
        <w:rPr>
          <w:rFonts w:ascii="Arial" w:cs="Arial" w:eastAsia="Arial" w:hAnsi="Arial"/>
          <w:b/>
          <w:bCs/>
          <w:color w:val="4472C4"/>
          <w:sz w:val="22"/>
          <w:szCs w:val="22"/>
        </w:rPr>
        <w:t xml:space="preserve">Category B — Festive Phase Indicators  (4 columns, binary 0/1)</w:t>
      </w:r>
    </w:p>
    <w:p>
      <w:pPr>
        <w:spacing w:after="120"/>
      </w:pPr>
      <w:r>
        <w:rPr>
          <w:rFonts w:ascii="Arial" w:cs="Arial" w:eastAsia="Arial" w:hAnsi="Arial"/>
          <w:sz w:val="22"/>
          <w:szCs w:val="22"/>
        </w:rPr>
        <w:t xml:space="preserve">Binary flags indicating whether the month falls within a defined festive selling phase. Festive phases are pre-defined windows aligned to the major vehicle purchase cycles in the Indian market.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FESTIVE_PHASE_I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 (0/1)</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 month falls within Festive Phase I window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FESTIVE_PHASE_II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 (0/1)</w:t>
            </w:r>
          </w:p>
        </w:tc>
        <w:tc>
          <w:tcPr>
            <w:tcW w:type="dxa" w:w="4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 month falls within Festive Phase II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FESTIVE_PHASE_III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 (0/1)</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 month falls within Festive Phase III window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PITRU_PAKSH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 (0/1)</w:t>
            </w:r>
          </w:p>
        </w:tc>
        <w:tc>
          <w:tcPr>
            <w:tcW w:type="dxa" w:w="4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 month falls within Pitru Paksha (inauspicious period — typically depresses vehicle sales)</w:t>
            </w:r>
          </w:p>
        </w:tc>
      </w:tr>
    </w:tbl>
    <w:p>
      <w:pPr>
        <w:spacing w:after="200"/>
      </w:pPr>
      <w:r>
        <w:rPr>
          <w:rFonts w:ascii="Arial" w:cs="Arial" w:eastAsia="Arial" w:hAnsi="Arial"/>
          <w:sz w:val="22"/>
          <w:szCs w:val="22"/>
        </w:rPr>
        <w:t xml:space="preserve"/>
      </w:r>
    </w:p>
    <w:p>
      <w:pPr>
        <w:pStyle w:val="Heading4"/>
      </w:pPr>
      <w:r>
        <w:rPr>
          <w:rFonts w:ascii="Arial" w:cs="Arial" w:eastAsia="Arial" w:hAnsi="Arial"/>
          <w:b/>
          <w:bCs/>
          <w:color w:val="4472C4"/>
          <w:sz w:val="22"/>
          <w:szCs w:val="22"/>
        </w:rPr>
        <w:t xml:space="preserve">Category C — Festive Phase Day Counts  (4 columns, continuous)</w:t>
      </w:r>
    </w:p>
    <w:p>
      <w:pPr>
        <w:spacing w:after="120"/>
      </w:pPr>
      <w:r>
        <w:rPr>
          <w:rFonts w:ascii="Arial" w:cs="Arial" w:eastAsia="Arial" w:hAnsi="Arial"/>
          <w:sz w:val="22"/>
          <w:szCs w:val="22"/>
        </w:rPr>
        <w:t xml:space="preserve">Count of days within each festive phase or Pitru Paksha period that fall in that calendar month. Captures the magnitude of phase overlap with the month.</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60"/>
        <w:gridCol w:w="3000"/>
        <w:gridCol w:w="10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TOTAL_DAYS_FESTIVE_PHASE_I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Festive Phase I days in this month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TOTAL_DAYS_FESTIVE_PHASE_II</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Festive Phase II days in this 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TOTAL_DAYS_FESTIVE_PHASE_III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Festive Phase III days in this month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TOTAL_DAYS_PITRU_PAKSH</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Pitru Paksha days in this month</w:t>
            </w:r>
          </w:p>
        </w:tc>
      </w:tr>
    </w:tbl>
    <w:p>
      <w:pPr>
        <w:spacing w:after="200"/>
      </w:pPr>
      <w:r>
        <w:rPr>
          <w:rFonts w:ascii="Arial" w:cs="Arial" w:eastAsia="Arial" w:hAnsi="Arial"/>
          <w:sz w:val="22"/>
          <w:szCs w:val="22"/>
        </w:rPr>
        <w:t xml:space="preserve"/>
      </w:r>
    </w:p>
    <w:p>
      <w:pPr>
        <w:pStyle w:val="Heading4"/>
      </w:pPr>
      <w:r>
        <w:rPr>
          <w:rFonts w:ascii="Arial" w:cs="Arial" w:eastAsia="Arial" w:hAnsi="Arial"/>
          <w:b/>
          <w:bCs/>
          <w:color w:val="4472C4"/>
          <w:sz w:val="22"/>
          <w:szCs w:val="22"/>
        </w:rPr>
        <w:t xml:space="preserve">Category D — Festive Proportion Features  (9 columns, continuous)</w:t>
      </w:r>
    </w:p>
    <w:p>
      <w:pPr>
        <w:spacing w:after="120"/>
      </w:pPr>
      <w:r>
        <w:rPr>
          <w:rFonts w:ascii="Arial" w:cs="Arial" w:eastAsia="Arial" w:hAnsi="Arial"/>
          <w:sz w:val="22"/>
          <w:szCs w:val="22"/>
        </w:rPr>
        <w:t xml:space="preserve">Proportion-based features measuring what fraction of the month or of total festive events falls within each phase. Normalises for month length and total event volume.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NUM_FESTIVE_DAYS_MONTH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count of all festive days in the month across all festivals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PROP_FESTIVE_PHASE_I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month days that are in Phase 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PROP_EVENT_FESTIVE_PHASE_I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total event days accounted for by Phase I</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PROP_FESTIVE_PHASE_II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month days that are in Phase II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PROP_EVENT_FESTIVE_PHASE_II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total event days accounted for by Phase II</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PROP_FESTIVE_PHASE_III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month days that are in Phase III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PROP_EVENT_FESTIVE_PHASE_III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total event days accounted for by Phase III</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PROP_PITRU_PAKSH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month days that fall in Pitru Paksha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PROP_EVENT_PITRU_PAKSH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total event days accounted for by Pitru Paksha</w:t>
            </w:r>
          </w:p>
        </w:tc>
      </w:tr>
    </w:tbl>
    <w:p>
      <w:pPr>
        <w:spacing w:after="200"/>
      </w:pPr>
      <w:r>
        <w:rPr>
          <w:rFonts w:ascii="Arial" w:cs="Arial" w:eastAsia="Arial" w:hAnsi="Arial"/>
          <w:sz w:val="22"/>
          <w:szCs w:val="22"/>
        </w:rPr>
        <w:t xml:space="preserve"/>
      </w:r>
    </w:p>
    <w:p>
      <w:r>
        <w:br w:type="page"/>
      </w:r>
    </w:p>
    <w:p>
      <w:pPr>
        <w:pStyle w:val="Heading3"/>
      </w:pPr>
      <w:r>
        <w:rPr>
          <w:rFonts w:ascii="Arial" w:cs="Arial" w:eastAsia="Arial" w:hAnsi="Arial"/>
          <w:b/>
          <w:bCs/>
          <w:color w:val="1F3864"/>
          <w:sz w:val="24"/>
          <w:szCs w:val="24"/>
        </w:rPr>
        <w:t xml:space="preserve">3.3  Static Covariates  (10 columns)</w:t>
      </w:r>
    </w:p>
    <w:p>
      <w:pPr>
        <w:spacing w:after="120"/>
      </w:pPr>
      <w:r>
        <w:rPr>
          <w:rFonts w:ascii="Arial" w:cs="Arial" w:eastAsia="Arial" w:hAnsi="Arial"/>
          <w:sz w:val="22"/>
          <w:szCs w:val="22"/>
        </w:rPr>
        <w:t xml:space="preserve">Static covariates are fixed attributes of each series — they do not change over time. They are encoded by the StaticCovariatesTransformer and fed to the TFT's static context network, which conditions the model's entire forecast on each series's identity.</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PARENT_DEALER_CODE_MODEL_FAMILY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 (group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grouping identifier. Concatenated dealer code and model family. Used as the series label.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MODEL_FAMILY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vehicle model family (e.g., motorcycle segment, scooter segment)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BRAKE_TYPE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Brake technology category of the vehicle model (e.g., drum, disc, CBS)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IGNITION_TYPE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Ignition system type (e.g., kick start, self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WHEEL_TYPE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Wheel specification of the vehicle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COLOUR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 colour of the vehicle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DEALER_CITY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City in which the dealer operates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X_CITY_CATEGORY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Classification of the dealer city (e.g., metro, tier-1, tier-2)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ZONAL_OFFICE_NAME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Zonal sales office to which the dealer belongs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PARENT_DEALER_CODE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 / Numeric ID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Unique numeric identifier for the parent dealer. Listed as a static covariate.</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3.4  Encoder-Generated Features  (add_encoders)</w:t>
      </w:r>
    </w:p>
    <w:p>
      <w:pPr>
        <w:spacing w:after="120"/>
      </w:pPr>
      <w:r>
        <w:rPr>
          <w:rFonts w:ascii="Arial" w:cs="Arial" w:eastAsia="Arial" w:hAnsi="Arial"/>
          <w:sz w:val="22"/>
          <w:szCs w:val="22"/>
        </w:rPr>
        <w:t xml:space="preserve">In addition to the user-supplied features above, the model automatically generates time-index features via the add_encoders configuration. These are generated for both the lookback window and the forecast horizon, then scaled by an internal MinMax Scaler.</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160"/>
        <w:gridCol w:w="32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Encoder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Applied To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Range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Cyclic Month  (sin/cos)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Calendar month encoded as sine and cosine components. Identical for the same month in any year. Preserves cyclicality.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Relative Position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Position of each time step relative to the forecast point, based on series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Year  (custom function)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[0.46 – 0.52]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Formula: (year - 2000) / 50. Provides a slow-moving trend signal. 2023=0.46, 2024=0.48, 2025=0.50, 2026=0.52.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Days in Month  (custom function)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 – 31]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integer days-in-month value (28, 29, 30, or 31). Fully determined by the calendar. Helps the model account for month length variation.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Encoder Scaler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above outputs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Darts Scaler (MinMax) applied to all four encoder outputs after generation.</w:t>
            </w:r>
          </w:p>
        </w:tc>
      </w:tr>
    </w:tbl>
    <w:p>
      <w:pPr>
        <w:spacing w:after="200"/>
      </w:pPr>
      <w:r>
        <w:rPr>
          <w:rFonts w:ascii="Arial" w:cs="Arial" w:eastAsia="Arial" w:hAnsi="Arial"/>
          <w:sz w:val="22"/>
          <w:szCs w:val="22"/>
        </w:rPr>
        <w:t xml:space="preserve"/>
      </w:r>
    </w:p>
    <w:p>
      <w:r>
        <w:br w:type="page"/>
      </w:r>
    </w:p>
    <w:p>
      <w:pPr>
        <w:pStyle w:val="Heading2"/>
      </w:pPr>
      <w:r>
        <w:rPr>
          <w:rFonts w:ascii="Arial" w:cs="Arial" w:eastAsia="Arial" w:hAnsi="Arial"/>
          <w:b/>
          <w:bCs/>
          <w:color w:val="2E75B6"/>
          <w:sz w:val="28"/>
          <w:szCs w:val="28"/>
        </w:rPr>
        <w:t xml:space="preserve">4. Training and Validation Data Split</w:t>
      </w:r>
    </w:p>
    <w:p>
      <w:pPr>
        <w:spacing w:after="120"/>
      </w:pPr>
      <w:r>
        <w:rPr>
          <w:rFonts w:ascii="Arial" w:cs="Arial" w:eastAsia="Arial" w:hAnsi="Arial"/>
          <w:sz w:val="22"/>
          <w:szCs w:val="22"/>
        </w:rPr>
        <w:t xml:space="preserve">For each series, the data is sliced into a training segment and a validation segment. The split is applied independently to both the target series (with static covariates) and the future covariates series.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Training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1, 2023</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December 1,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 months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Validation</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January 1, 2025</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1, 2026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 months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Note on overlap: </w:t>
      </w:r>
      <w:r>
        <w:rPr>
          <w:rFonts w:ascii="Arial" w:cs="Arial" w:eastAsia="Arial" w:hAnsi="Arial"/>
          <w:sz w:val="22"/>
          <w:szCs w:val="22"/>
        </w:rPr>
        <w:t xml:space="preserve">The training period ends December 2025 and the validation period starts January 2025, creating a 12-month overlap. This is intentional. In Darts multi-series training, the model uses the last input_chunk_length months (12 months) of the validation series as context when computing the validation loss. The overlapping 12 months provide that context window — they are not double-counted as training targets.</w:t>
      </w:r>
    </w:p>
    <w:p>
      <w:pPr>
        <w:spacing w:after="20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5. Data Scaling Pipeline</w:t>
      </w:r>
    </w:p>
    <w:p>
      <w:pPr>
        <w:spacing w:after="120"/>
      </w:pPr>
      <w:r>
        <w:rPr>
          <w:rFonts w:ascii="Arial" w:cs="Arial" w:eastAsia="Arial" w:hAnsi="Arial"/>
          <w:sz w:val="22"/>
          <w:szCs w:val="22"/>
        </w:rPr>
        <w:t xml:space="preserve">Three separate scalers/transformers are applied in sequence. All are fit on the training data only and then applied (transform) to both training and validation data.</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Scaler / Transformer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Applied To</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target_scaler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NET_SALES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Darts Scaler (MinMax). Fit on training target series. Transforms target values to [0, 1]. Applied first, before the static transformer.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transformer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covariates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StaticCovariatesTransformer. Encodes all static string columns into numeric representations. Applied after target_scaler on top of the scaled target series.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future_covariates_scaler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49 future covariates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Darts Scaler (MinMax). Fit independently on the training future covariates list. Transforms covariate values to [0, 1]. Applied separately from the target scaling pipeline.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Parallelism: </w:t>
      </w:r>
      <w:r>
        <w:rPr>
          <w:rFonts w:ascii="Arial" w:cs="Arial" w:eastAsia="Arial" w:hAnsi="Arial"/>
          <w:sz w:val="22"/>
          <w:szCs w:val="22"/>
        </w:rPr>
        <w:t xml:space="preserve">All three scalers are initialised with n_jobs=-1, enabling multi-core processing across series for both fit_transform and transform operations.</w:t>
      </w:r>
    </w:p>
    <w:p>
      <w:pPr>
        <w:spacing w:after="200"/>
      </w:pPr>
      <w:r>
        <w:rPr>
          <w:rFonts w:ascii="Arial" w:cs="Arial" w:eastAsia="Arial" w:hAnsi="Arial"/>
          <w:sz w:val="22"/>
          <w:szCs w:val="22"/>
        </w:rPr>
        <w:t xml:space="preserve"/>
      </w:r>
    </w:p>
    <w:p>
      <w:r>
        <w:br w:type="page"/>
      </w:r>
    </w:p>
    <w:p>
      <w:pPr>
        <w:pStyle w:val="Heading2"/>
      </w:pPr>
      <w:r>
        <w:rPr>
          <w:rFonts w:ascii="Arial" w:cs="Arial" w:eastAsia="Arial" w:hAnsi="Arial"/>
          <w:b/>
          <w:bCs/>
          <w:color w:val="2E75B6"/>
          <w:sz w:val="28"/>
          <w:szCs w:val="28"/>
        </w:rPr>
        <w:t xml:space="preserve">6. Model Configuration</w:t>
      </w:r>
    </w:p>
    <w:p>
      <w:pPr>
        <w:pStyle w:val="Heading3"/>
      </w:pPr>
      <w:r>
        <w:rPr>
          <w:rFonts w:ascii="Arial" w:cs="Arial" w:eastAsia="Arial" w:hAnsi="Arial"/>
          <w:b/>
          <w:bCs/>
          <w:color w:val="1F3864"/>
          <w:sz w:val="24"/>
          <w:szCs w:val="24"/>
        </w:rPr>
        <w:t xml:space="preserve">6.1  TFT Hyperparameters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input_chunk_length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looks back 12 months. Captures one full year of seasonality.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output_chunk_length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forecasts 3 months ahead in a single forward pass. No autoregression for n ≤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batch_size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samples per gradient update step.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dropout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dropout applied for regularisation to reduce overfitting.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likelihood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 forecast mode (no probabilistic output). Loss is computed directly as MSE.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loss_fn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MSELoss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Squared Error. Penalises large deviations more heavily than MAE.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n_epochs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training epochs. Early stopping will typically terminate well before this limit.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seed for reproducibility.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gradient_clip_val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Gradient clipping to prevent exploding gradients. Passed via pl_trainer_kwargs.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save_checkpoints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False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Darts internal checkpointing disabled. Checkpointing is handled by a custom PyTorch Lightning callback to avoid conflicts.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force_reset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Clears any previously saved model state with the same model name before training begins.</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6.2  Temporal Encoders  (add_encoders)</w:t>
      </w:r>
    </w:p>
    <w:p>
      <w:pPr>
        <w:spacing w:after="120"/>
      </w:pPr>
      <w:r>
        <w:rPr>
          <w:rFonts w:ascii="Arial" w:cs="Arial" w:eastAsia="Arial" w:hAnsi="Arial"/>
          <w:sz w:val="22"/>
          <w:szCs w:val="22"/>
        </w:rPr>
        <w:t xml:space="preserve">The following encoder configuration is passed to the TFT model. It generates additional time-index features automatically and applies a MinMax Scaler to their outputs: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Encoder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Applied To</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cyclic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 encodes the calendar month as sine and cosine components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position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relative — encodes step position relative to the forecast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custom (encode_year)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 (idx.year - 2000) / 50  — normalised year 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custom (encode_days_in_month)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Past + Future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 idx.days_in_month.to_numpy().reshape(-1,1)  — raw day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transformer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encoder outputs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Darts Scaler() — MinMax normalisation applied to all generated encoder features</w:t>
            </w:r>
          </w:p>
        </w:tc>
      </w:tr>
    </w:tbl>
    <w:p>
      <w:pPr>
        <w:spacing w:after="200"/>
      </w:pPr>
      <w:r>
        <w:rPr>
          <w:rFonts w:ascii="Arial" w:cs="Arial" w:eastAsia="Arial" w:hAnsi="Arial"/>
          <w:sz w:val="22"/>
          <w:szCs w:val="22"/>
        </w:rPr>
        <w:t xml:space="preserve"/>
      </w:r>
    </w:p>
    <w:p>
      <w:r>
        <w:br w:type="page"/>
      </w:r>
    </w:p>
    <w:p>
      <w:pPr>
        <w:pStyle w:val="Heading2"/>
      </w:pPr>
      <w:r>
        <w:rPr>
          <w:rFonts w:ascii="Arial" w:cs="Arial" w:eastAsia="Arial" w:hAnsi="Arial"/>
          <w:b/>
          <w:bCs/>
          <w:color w:val="2E75B6"/>
          <w:sz w:val="28"/>
          <w:szCs w:val="28"/>
        </w:rPr>
        <w:t xml:space="preserve">7. Training Process</w:t>
      </w:r>
    </w:p>
    <w:p>
      <w:pPr>
        <w:pStyle w:val="Heading3"/>
      </w:pPr>
      <w:r>
        <w:rPr>
          <w:rFonts w:ascii="Arial" w:cs="Arial" w:eastAsia="Arial" w:hAnsi="Arial"/>
          <w:b/>
          <w:bCs/>
          <w:color w:val="1F3864"/>
          <w:sz w:val="24"/>
          <w:szCs w:val="24"/>
        </w:rPr>
        <w:t xml:space="preserve">7.1  Learning Rate Finder</w:t>
      </w:r>
    </w:p>
    <w:p>
      <w:pPr>
        <w:spacing w:after="120"/>
      </w:pPr>
      <w:r>
        <w:rPr>
          <w:rFonts w:ascii="Arial" w:cs="Arial" w:eastAsia="Arial" w:hAnsi="Arial"/>
          <w:sz w:val="22"/>
          <w:szCs w:val="22"/>
        </w:rPr>
        <w:t xml:space="preserve">Before training begins, the model runs an automated Learning Rate Finder to identify the optimal initial learning rate. The finder sweeps across a range of learning rates, records the loss at each step, and returns the learning rate at the point of steepest loss decline. The suggested learning rate is then set on the model before the full training run.</w:t>
      </w:r>
    </w:p>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Input: scaled training target series and future covariates</w:t>
      </w:r>
    </w:p>
    <w:p>
      <w:pPr>
        <w:pStyle w:val="ListParagraph"/>
        <w:numPr>
          <w:ilvl w:val="0"/>
          <w:numId w:val="2"/>
        </w:numPr>
        <w:spacing w:after="80"/>
      </w:pPr>
      <w:r>
        <w:rPr>
          <w:rFonts w:ascii="Arial" w:cs="Arial" w:eastAsia="Arial" w:hAnsi="Arial"/>
          <w:sz w:val="22"/>
          <w:szCs w:val="22"/>
        </w:rPr>
        <w:t xml:space="preserve">Output: suggested_lr — the auto-detected optimal learning rate</w:t>
      </w:r>
    </w:p>
    <w:p>
      <w:pPr>
        <w:pStyle w:val="ListParagraph"/>
        <w:numPr>
          <w:ilvl w:val="0"/>
          <w:numId w:val="2"/>
        </w:numPr>
        <w:spacing w:after="80"/>
      </w:pPr>
      <w:r>
        <w:rPr>
          <w:rFonts w:ascii="Arial" w:cs="Arial" w:eastAsia="Arial" w:hAnsi="Arial"/>
          <w:sz w:val="22"/>
          <w:szCs w:val="22"/>
        </w:rPr>
        <w:t xml:space="preserve">The learning rate is applied by setting model.lr = suggested_lr before calling model.fit()</w:t>
      </w:r>
    </w:p>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7.2  Custom Checkpoint Strategy</w:t>
      </w:r>
    </w:p>
    <w:p>
      <w:pPr>
        <w:spacing w:after="120"/>
      </w:pPr>
      <w:r>
        <w:rPr>
          <w:rFonts w:ascii="Arial" w:cs="Arial" w:eastAsia="Arial" w:hAnsi="Arial"/>
          <w:sz w:val="22"/>
          <w:szCs w:val="22"/>
        </w:rPr>
        <w:t xml:space="preserve">A custom PyTorch Lightning ModelCheckpoint callback (DateStampedCheckpoint) is used. This avoids conflicts with Darts' internal checkpointing (save_checkpoints=False) while enabling precise control over the saving criterion.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Monitored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val_loss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(lower val_loss = better)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save_top_k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(only the single best checkpoint is retained)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save_last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True  (last.ckpt also saved at every epoch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Filename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tft-best-{datetime}-{epoch:02d}-{val_loss:.4f}.ckpt</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7.3  Early Stopping</w:t>
      </w:r>
    </w:p>
    <w:p>
      <w:pPr>
        <w:spacing w:after="120"/>
      </w:pPr>
      <w:r>
        <w:rPr>
          <w:rFonts w:ascii="Arial" w:cs="Arial" w:eastAsia="Arial" w:hAnsi="Arial"/>
          <w:sz w:val="22"/>
          <w:szCs w:val="22"/>
        </w:rPr>
        <w:t xml:space="preserve">An EarlyStopping callback terminates training automatically when the validation loss stops improving, preventing unnecessary epochs and overfitting.</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Monitored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val_loss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Patience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epochs  (training stops if val_loss does not improve for 10 consecutive epochs)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7.4  Validation Loss Progression</w:t>
      </w:r>
    </w:p>
    <w:p>
      <w:pPr>
        <w:spacing w:after="120"/>
      </w:pPr>
      <w:r>
        <w:rPr>
          <w:rFonts w:ascii="Arial" w:cs="Arial" w:eastAsia="Arial" w:hAnsi="Arial"/>
          <w:sz w:val="22"/>
          <w:szCs w:val="22"/>
        </w:rPr>
        <w:t xml:space="preserve">The table below shows the epoch-by-epoch training and validation loss recorded during the training run. The best checkpoint (lowest val_loss) was saved at Epoch 9.</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15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Val Loss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0.04235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0.042  (new best)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Saved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0.0291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0.04183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0.042  (new best)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Saved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0.04190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0.04240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0.04166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0.042  (new best)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Saved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0.0245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0.04066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0.041  (new best)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Saved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0.04044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  (new best)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Saved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0.04027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  (new best)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Saved</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9</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0.0216</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0.03960</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0.040  (new best — FINAL BEST)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BEST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0.0262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0.03970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0.04070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Best checkpoint: </w:t>
      </w:r>
      <w:r>
        <w:rPr>
          <w:rFonts w:ascii="Arial" w:cs="Arial" w:eastAsia="Arial" w:hAnsi="Arial"/>
          <w:sz w:val="22"/>
          <w:szCs w:val="22"/>
        </w:rPr>
        <w:t xml:space="preserve">Epoch 9, val_loss = 0.03960. Training continued for 2 more epochs after this before early stopping would apply. The checkpoint saved at Epoch 9 is the model used for inference.</w:t>
      </w:r>
    </w:p>
    <w:p>
      <w:pPr>
        <w:spacing w:after="200"/>
      </w:pPr>
      <w:r>
        <w:rPr>
          <w:rFonts w:ascii="Arial" w:cs="Arial" w:eastAsia="Arial" w:hAnsi="Arial"/>
          <w:sz w:val="22"/>
          <w:szCs w:val="22"/>
        </w:rPr>
        <w:t xml:space="preserve"/>
      </w:r>
    </w:p>
    <w:p>
      <w:r>
        <w:br w:type="page"/>
      </w:r>
    </w:p>
    <w:p>
      <w:pPr>
        <w:pStyle w:val="Heading2"/>
      </w:pPr>
      <w:r>
        <w:rPr>
          <w:rFonts w:ascii="Arial" w:cs="Arial" w:eastAsia="Arial" w:hAnsi="Arial"/>
          <w:b/>
          <w:bCs/>
          <w:color w:val="2E75B6"/>
          <w:sz w:val="28"/>
          <w:szCs w:val="28"/>
        </w:rPr>
        <w:t xml:space="preserve">8. Model Loading and Weight Injection</w:t>
      </w:r>
    </w:p>
    <w:p>
      <w:pPr>
        <w:spacing w:after="120"/>
      </w:pPr>
      <w:r>
        <w:rPr>
          <w:rFonts w:ascii="Arial" w:cs="Arial" w:eastAsia="Arial" w:hAnsi="Arial"/>
          <w:sz w:val="22"/>
          <w:szCs w:val="22"/>
        </w:rPr>
        <w:t xml:space="preserve">Because save_checkpoints=False is used (to avoid the Darts internal checkpoint conflict), the trained weights are stored only in the custom checkpoint file. The following process loads the best checkpoint weights into a freshly initialised model structure:</w:t>
      </w:r>
    </w:p>
    <w:p>
      <w:pPr>
        <w:spacing w:after="10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Retrieve the best checkpoint path: </w:t>
      </w:r>
      <w:r>
        <w:rPr>
          <w:rFonts w:ascii="Arial" w:cs="Arial" w:eastAsia="Arial" w:hAnsi="Arial"/>
          <w:sz w:val="22"/>
          <w:szCs w:val="22"/>
        </w:rPr>
        <w:t xml:space="preserve">checkpoint_callback.best_model_path gives the path to the saved .ckpt file with the lowest val_loss.</w:t>
      </w:r>
    </w:p>
    <w:p>
      <w:pPr>
        <w:pStyle w:val="ListParagraph"/>
        <w:numPr>
          <w:ilvl w:val="0"/>
          <w:numId w:val="3"/>
        </w:numPr>
        <w:spacing w:after="80"/>
      </w:pPr>
      <w:r>
        <w:rPr>
          <w:rFonts w:ascii="Arial" w:cs="Arial" w:eastAsia="Arial" w:hAnsi="Arial"/>
          <w:b/>
          <w:bCs/>
          <w:sz w:val="22"/>
          <w:szCs w:val="22"/>
        </w:rPr>
        <w:t xml:space="preserve">Instantiate a fresh model structure: </w:t>
      </w:r>
      <w:r>
        <w:rPr>
          <w:rFonts w:ascii="Arial" w:cs="Arial" w:eastAsia="Arial" w:hAnsi="Arial"/>
          <w:sz w:val="22"/>
          <w:szCs w:val="22"/>
        </w:rPr>
        <w:t xml:space="preserve">A new TFTModel is created with identical hyperparameters. n_epochs is temporarily set to 0.</w:t>
      </w:r>
    </w:p>
    <w:p>
      <w:pPr>
        <w:pStyle w:val="ListParagraph"/>
        <w:numPr>
          <w:ilvl w:val="0"/>
          <w:numId w:val="3"/>
        </w:numPr>
        <w:spacing w:after="80"/>
      </w:pPr>
      <w:r>
        <w:rPr>
          <w:rFonts w:ascii="Arial" w:cs="Arial" w:eastAsia="Arial" w:hAnsi="Arial"/>
          <w:b/>
          <w:bCs/>
          <w:sz w:val="22"/>
          <w:szCs w:val="22"/>
        </w:rPr>
        <w:t xml:space="preserve">Initialise the model's internal state: </w:t>
      </w:r>
      <w:r>
        <w:rPr>
          <w:rFonts w:ascii="Arial" w:cs="Arial" w:eastAsia="Arial" w:hAnsi="Arial"/>
          <w:sz w:val="22"/>
          <w:szCs w:val="22"/>
        </w:rPr>
        <w:t xml:space="preserve">model.fit() is called with the training data. Because n_epochs=0, no gradient updates occur — this call purely initialises the PyTorch module, the DataLoader, and the internal architecture so that a state_dict can be loaded into it.</w:t>
      </w:r>
    </w:p>
    <w:p>
      <w:pPr>
        <w:pStyle w:val="ListParagraph"/>
        <w:numPr>
          <w:ilvl w:val="0"/>
          <w:numId w:val="3"/>
        </w:numPr>
        <w:spacing w:after="80"/>
      </w:pPr>
      <w:r>
        <w:rPr>
          <w:rFonts w:ascii="Arial" w:cs="Arial" w:eastAsia="Arial" w:hAnsi="Arial"/>
          <w:b/>
          <w:bCs/>
          <w:sz w:val="22"/>
          <w:szCs w:val="22"/>
        </w:rPr>
        <w:t xml:space="preserve">Inject the saved weights: </w:t>
      </w:r>
      <w:r>
        <w:rPr>
          <w:rFonts w:ascii="Arial" w:cs="Arial" w:eastAsia="Arial" w:hAnsi="Arial"/>
          <w:sz w:val="22"/>
          <w:szCs w:val="22"/>
        </w:rPr>
        <w:t xml:space="preserve">torch.load() reads the .ckpt file. The state_dict is extracted and loaded into the initialised model via loaded_model.model.load_state_dict(checkpoint['state_dict']). This overwrites the randomly-initialised weights with the trained weights from Epoch 9.</w:t>
      </w:r>
    </w:p>
    <w:p>
      <w:pPr>
        <w:pStyle w:val="ListParagraph"/>
        <w:numPr>
          <w:ilvl w:val="0"/>
          <w:numId w:val="3"/>
        </w:numPr>
        <w:spacing w:after="80"/>
      </w:pPr>
      <w:r>
        <w:rPr>
          <w:rFonts w:ascii="Arial" w:cs="Arial" w:eastAsia="Arial" w:hAnsi="Arial"/>
          <w:b/>
          <w:bCs/>
          <w:sz w:val="22"/>
          <w:szCs w:val="22"/>
        </w:rPr>
        <w:t xml:space="preserve">Restore n_epochs: </w:t>
      </w:r>
      <w:r>
        <w:rPr>
          <w:rFonts w:ascii="Arial" w:cs="Arial" w:eastAsia="Arial" w:hAnsi="Arial"/>
          <w:sz w:val="22"/>
          <w:szCs w:val="22"/>
        </w:rPr>
        <w:t xml:space="preserve">Set back to 100 in case the model is used for further training.</w:t>
      </w:r>
    </w:p>
    <w:p>
      <w:pPr>
        <w:spacing w:after="20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9. Forecast Generation and Output</w:t>
      </w:r>
    </w:p>
    <w:p>
      <w:pPr>
        <w:pStyle w:val="Heading3"/>
      </w:pPr>
      <w:r>
        <w:rPr>
          <w:rFonts w:ascii="Arial" w:cs="Arial" w:eastAsia="Arial" w:hAnsi="Arial"/>
          <w:b/>
          <w:bCs/>
          <w:color w:val="1F3864"/>
          <w:sz w:val="24"/>
          <w:szCs w:val="24"/>
        </w:rPr>
        <w:t xml:space="preserve">9.1  Forecast Inputs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 Argument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(produces one 3-month forecast block per series)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series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scaled_target_series_with_static_covariates_training  — the last 12 months of this serve as the model's lookback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future_covariates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scaled_future_covariates_validation  — provides the known future feature values across the forecast horizon</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9.2  Inverse Transformation</w:t>
      </w:r>
    </w:p>
    <w:p>
      <w:pPr>
        <w:spacing w:after="120"/>
      </w:pPr>
      <w:r>
        <w:rPr>
          <w:rFonts w:ascii="Arial" w:cs="Arial" w:eastAsia="Arial" w:hAnsi="Arial"/>
          <w:sz w:val="22"/>
          <w:szCs w:val="22"/>
        </w:rPr>
        <w:t xml:space="preserve">The raw forecast output is in scaled space ([0, 1]). It is inverse-transformed using target_scaler.inverse_transform() to recover the original NET_SALES units before assembling the output DataFrame.</w:t>
      </w:r>
    </w:p>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9.3  Output Format</w:t>
      </w:r>
    </w:p>
    <w:p>
      <w:pPr>
        <w:spacing w:after="120"/>
      </w:pPr>
      <w:r>
        <w:rPr>
          <w:rFonts w:ascii="Arial" w:cs="Arial" w:eastAsia="Arial" w:hAnsi="Arial"/>
          <w:sz w:val="22"/>
          <w:szCs w:val="22"/>
        </w:rPr>
        <w:t xml:space="preserve">The final output is a DataFrame with one row per series per forecast month, containing:</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MONTH_OF_SALE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YYYY-MM-DD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Forecast month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PARENT_DEALER_CODE_MODEL_FAMILY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Series identifier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ACTUAL_SALES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 2 d.p.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 sales from the validation period (available for validation months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PREDICTED_SALES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 2 d.p.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Model-predicted NET_SALES in original units</w:t>
            </w:r>
          </w:p>
        </w:tc>
      </w:tr>
    </w:tbl>
    <w:p>
      <w:pPr>
        <w:spacing w:after="300"/>
      </w:pPr>
      <w:r>
        <w:rPr>
          <w:rFonts w:ascii="Arial" w:cs="Arial" w:eastAsia="Arial" w:hAnsi="Arial"/>
          <w:sz w:val="22"/>
          <w:szCs w:val="22"/>
        </w:rPr>
        <w:t xml:space="preserve"/>
      </w:r>
    </w:p>
    <w:p>
      <w:pPr>
        <w:pBdr>
          <w:top w:val="single" w:color="CCCCCC" w:sz="4" w:space="1"/>
        </w:pBdr>
        <w:spacing w:after="80" w:before="200"/>
      </w:pPr>
      <w:r>
        <w:rPr>
          <w:rFonts w:ascii="Arial" w:cs="Arial" w:eastAsia="Arial" w:hAnsi="Arial"/>
          <w:i/>
          <w:iCs/>
          <w:color w:val="808080"/>
          <w:sz w:val="18"/>
          <w:szCs w:val="18"/>
        </w:rPr>
        <w:t xml:space="preserve">TFT Net Sales Forecasting — Model Development Documentation   |   Prepared June 3, 2026   |   Internal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2026-06-04T05:20:24.304Z</dcterms:created>
  <dcterms:modified xsi:type="dcterms:W3CDTF">2026-06-04T05:20:24.319Z</dcterms:modified>
</cp:coreProperties>
</file>

<file path=docProps/custom.xml><?xml version="1.0" encoding="utf-8"?>
<Properties xmlns="http://schemas.openxmlformats.org/officeDocument/2006/custom-properties" xmlns:vt="http://schemas.openxmlformats.org/officeDocument/2006/docPropsVTypes"/>
</file>