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513A" w:rsidRDefault="00F046FE">
      <w:pPr>
        <w:pStyle w:val="Heading1"/>
      </w:pPr>
      <w:r>
        <w:t>TFT vs Snowflake ML Forecast — POC Evaluation Strategy</w:t>
      </w:r>
    </w:p>
    <w:p w:rsidR="00D3513A" w:rsidRDefault="00F046FE">
      <w:pPr>
        <w:spacing w:after="200"/>
      </w:pPr>
      <w:r>
        <w:rPr>
          <w:color w:val="444444"/>
        </w:rPr>
        <w:t xml:space="preserve">This document outlines the train-test strategy for evaluating Temporal Fusion Transformer (TFT) against the current production model (Snowflake ML Forecast / XGBoost) </w:t>
      </w:r>
      <w:bookmarkStart w:id="0" w:name="_GoBack"/>
      <w:bookmarkEnd w:id="0"/>
    </w:p>
    <w:p w:rsidR="00D3513A" w:rsidRDefault="00F046FE">
      <w:pPr>
        <w:pStyle w:val="Heading2"/>
      </w:pPr>
      <w:r>
        <w:t>1. POC Objective</w:t>
      </w:r>
    </w:p>
    <w:p w:rsidR="00D3513A" w:rsidRDefault="00F046FE">
      <w:pPr>
        <w:spacing w:after="200"/>
      </w:pPr>
      <w:r>
        <w:t>Validate whether TFT produces materially better forecasts than Snowflake ML Forecast across both festive and lean demand periods, using identical training data and evaluation windows for both models.</w:t>
      </w:r>
    </w:p>
    <w:p w:rsidR="00D3513A" w:rsidRDefault="00F046FE">
      <w:pPr>
        <w:pStyle w:val="Heading2"/>
      </w:pPr>
      <w:r>
        <w:t>2. Data Filtering Criterion</w:t>
      </w:r>
    </w:p>
    <w:p w:rsidR="00D3513A" w:rsidRDefault="00F046FE">
      <w:pPr>
        <w:spacing w:after="120"/>
      </w:pPr>
      <w:r>
        <w:t>Only dealer-SKU combinations with at least 24 months of data will be included in training. This ensures every series used for training contains a minimum of two complete festive cycles, which is necessary for the model to distinguish genuine seasonal patterns from one-time spikes.</w:t>
      </w:r>
    </w:p>
    <w:p w:rsidR="00D3513A" w:rsidRDefault="00F046FE">
      <w:pPr>
        <w:spacing w:after="200"/>
      </w:pPr>
      <w:r>
        <w:rPr>
          <w:i/>
          <w:iCs/>
          <w:color w:val="555555"/>
        </w:rPr>
        <w:t>Series with fewer than 24 months are excluded from training but may still receive forecasts at inference time using the trained global model.</w:t>
      </w:r>
    </w:p>
    <w:p w:rsidR="00D3513A" w:rsidRDefault="00F046FE">
      <w:pPr>
        <w:pStyle w:val="Heading2"/>
      </w:pPr>
      <w:r>
        <w:t>3. Train-Test Split Strategy</w:t>
      </w:r>
    </w:p>
    <w:p w:rsidR="00D3513A" w:rsidRDefault="00F046FE">
      <w:pPr>
        <w:spacing w:after="160"/>
      </w:pPr>
      <w:r>
        <w:t>Both models are trained and evaluated on identical windows to ensure a fair, apples-to-apples comparison.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3480"/>
      </w:tblGrid>
      <w:tr w:rsidR="00D3513A">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D3513A" w:rsidRDefault="00F046FE">
            <w:pPr>
              <w:jc w:val="center"/>
            </w:pPr>
            <w:r>
              <w:rPr>
                <w:b/>
                <w:bCs/>
                <w:color w:val="FFFFFF"/>
                <w:sz w:val="20"/>
                <w:szCs w:val="20"/>
              </w:rPr>
              <w:t>Dimension</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D3513A" w:rsidRDefault="00F046FE">
            <w:pPr>
              <w:jc w:val="center"/>
            </w:pPr>
            <w:r>
              <w:rPr>
                <w:b/>
                <w:bCs/>
                <w:color w:val="FFFFFF"/>
                <w:sz w:val="20"/>
                <w:szCs w:val="20"/>
              </w:rPr>
              <w:t>Snowflake ML Forecast</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D3513A" w:rsidRDefault="00F046FE">
            <w:pPr>
              <w:jc w:val="center"/>
            </w:pPr>
            <w:r>
              <w:rPr>
                <w:b/>
                <w:bCs/>
                <w:color w:val="FFFFFF"/>
                <w:sz w:val="20"/>
                <w:szCs w:val="20"/>
              </w:rPr>
              <w:t>TFT (Darts)</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D3513A" w:rsidRDefault="00F046FE">
            <w:pPr>
              <w:jc w:val="center"/>
            </w:pPr>
            <w:r>
              <w:rPr>
                <w:b/>
                <w:bCs/>
                <w:color w:val="FFFFFF"/>
                <w:sz w:val="20"/>
                <w:szCs w:val="20"/>
              </w:rPr>
              <w:t>Rationale</w:t>
            </w:r>
          </w:p>
        </w:tc>
      </w:tr>
      <w:tr w:rsidR="00D3513A">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b/>
                <w:bCs/>
                <w:color w:val="1F3864"/>
                <w:sz w:val="20"/>
                <w:szCs w:val="20"/>
              </w:rPr>
              <w:t>Training window</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Jan 2022 – Sep 2025</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Jan 2022 – Sep 2025</w:t>
            </w:r>
          </w:p>
        </w:tc>
        <w:tc>
          <w:tcPr>
            <w:tcW w:w="34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Same window for both ensures fair comparison. No data beyond Sep 2025 is used in training.</w:t>
            </w:r>
          </w:p>
        </w:tc>
      </w:tr>
      <w:tr w:rsidR="00D3513A">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b/>
                <w:bCs/>
                <w:color w:val="1F3864"/>
                <w:sz w:val="20"/>
                <w:szCs w:val="20"/>
              </w:rPr>
              <w:t>Primary test window</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Oct 2025 – Mar 2026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Oct 2025 – Mar 2026</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6-month window covering both festive (Oct–Dec) and lean (Jan–Mar) periods for comprehensive evaluation.</w:t>
            </w:r>
          </w:p>
        </w:tc>
      </w:tr>
      <w:tr w:rsidR="00D3513A">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b/>
                <w:bCs/>
                <w:color w:val="1F3864"/>
                <w:sz w:val="20"/>
                <w:szCs w:val="20"/>
              </w:rPr>
              <w:t>Festive sub-window</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Oct 2025 – Dec 2025</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Oct 2025 – Dec 2025</w:t>
            </w:r>
          </w:p>
        </w:tc>
        <w:tc>
          <w:tcPr>
            <w:tcW w:w="34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Isolates festive period performance. TFT’s key advantage — covariate handling and attention — should be most visible here.</w:t>
            </w:r>
          </w:p>
        </w:tc>
      </w:tr>
      <w:tr w:rsidR="00D3513A">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b/>
                <w:bCs/>
                <w:color w:val="1F3864"/>
                <w:sz w:val="20"/>
                <w:szCs w:val="20"/>
              </w:rPr>
              <w:t>Lean sub-window</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Jan 2026 – Mar 2026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Jan 2026 – Mar 2026</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Isolates post-festive lean period performance. Both models should perform comparably here.</w:t>
            </w:r>
          </w:p>
        </w:tc>
      </w:tr>
      <w:tr w:rsidR="00D3513A">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b/>
                <w:bCs/>
                <w:color w:val="1F3864"/>
                <w:sz w:val="20"/>
                <w:szCs w:val="20"/>
              </w:rPr>
              <w:t>Forecast horizon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6 months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6 months</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Both models make a single 6-month forecast call covering the full test window (Oct’ 25 to Mar’26) in one shot.</w:t>
            </w:r>
          </w:p>
        </w:tc>
      </w:tr>
      <w:tr w:rsidR="00D3513A">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b/>
                <w:bCs/>
                <w:color w:val="1F3864"/>
                <w:sz w:val="20"/>
                <w:szCs w:val="20"/>
              </w:rPr>
              <w:t>Series included</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≥24 months of history</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≥24 months of history</w:t>
            </w:r>
          </w:p>
        </w:tc>
        <w:tc>
          <w:tcPr>
            <w:tcW w:w="34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Minimum two festive cycles required. Shorter series excluded from training to ensure data quality.</w:t>
            </w:r>
          </w:p>
        </w:tc>
      </w:tr>
    </w:tbl>
    <w:p w:rsidR="00F046FE" w:rsidRDefault="00F046FE">
      <w:pPr>
        <w:spacing w:after="240"/>
      </w:pPr>
    </w:p>
    <w:p w:rsidR="00F046FE" w:rsidRDefault="00F046FE">
      <w:r>
        <w:br w:type="page"/>
      </w:r>
    </w:p>
    <w:p w:rsidR="00D3513A" w:rsidRDefault="00D3513A">
      <w:pPr>
        <w:spacing w:after="240"/>
      </w:pPr>
    </w:p>
    <w:p w:rsidR="00D3513A" w:rsidRDefault="00F046FE">
      <w:pPr>
        <w:pStyle w:val="Heading2"/>
      </w:pPr>
      <w:r>
        <w:t>4. Evaluation Metrics</w:t>
      </w:r>
    </w:p>
    <w:p w:rsidR="00D3513A" w:rsidRDefault="00F046FE">
      <w:pPr>
        <w:spacing w:after="120"/>
      </w:pPr>
      <w:r>
        <w:t>Performance will be compared across the following metrics, reported both overall and by demand regime:</w:t>
      </w:r>
    </w:p>
    <w:p w:rsidR="00D3513A" w:rsidRDefault="00F046FE">
      <w:pPr>
        <w:pStyle w:val="ListParagraph"/>
        <w:numPr>
          <w:ilvl w:val="0"/>
          <w:numId w:val="2"/>
        </w:numPr>
        <w:spacing w:after="80"/>
      </w:pPr>
      <w:r>
        <w:rPr>
          <w:b/>
          <w:bCs/>
        </w:rPr>
        <w:t xml:space="preserve">MAPE (Mean Absolute Percentage Error) </w:t>
      </w:r>
      <w:r>
        <w:t>— primary metric, scale-independent and intuitive for business stakeholders</w:t>
      </w:r>
    </w:p>
    <w:p w:rsidR="00D3513A" w:rsidRDefault="00F046FE">
      <w:pPr>
        <w:pStyle w:val="ListParagraph"/>
        <w:numPr>
          <w:ilvl w:val="0"/>
          <w:numId w:val="2"/>
        </w:numPr>
        <w:spacing w:after="80"/>
      </w:pPr>
      <w:r>
        <w:rPr>
          <w:b/>
          <w:bCs/>
        </w:rPr>
        <w:t xml:space="preserve">RMSE (Root Mean Squared Error) </w:t>
      </w:r>
      <w:r>
        <w:t>— penalises large errors more heavily, relevant for festive spike accuracy</w:t>
      </w:r>
    </w:p>
    <w:p w:rsidR="00D3513A" w:rsidRDefault="00F046FE">
      <w:pPr>
        <w:pStyle w:val="ListParagraph"/>
        <w:numPr>
          <w:ilvl w:val="0"/>
          <w:numId w:val="2"/>
        </w:numPr>
        <w:spacing w:after="200"/>
      </w:pPr>
      <w:r>
        <w:rPr>
          <w:b/>
          <w:bCs/>
        </w:rPr>
        <w:t xml:space="preserve">Per-series breakdown </w:t>
      </w:r>
      <w:r>
        <w:t>— aggregate metrics can mask cases where TFT wins on some series and loses on others; per-series analysis surfaces this</w:t>
      </w:r>
    </w:p>
    <w:p w:rsidR="00D3513A" w:rsidRDefault="00F046FE">
      <w:pPr>
        <w:pStyle w:val="Heading2"/>
      </w:pPr>
      <w:r>
        <w:t>5. POC Success Criteria</w:t>
      </w:r>
    </w:p>
    <w:p w:rsidR="00D3513A" w:rsidRDefault="00F046FE">
      <w:pPr>
        <w:spacing w:after="120"/>
      </w:pPr>
      <w:r>
        <w:t>TFT will be considered a viable upgrade if it meets the following conditions: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3580"/>
      </w:tblGrid>
      <w:tr w:rsidR="00D3513A">
        <w:trPr>
          <w:tblHeader/>
        </w:trPr>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D3513A" w:rsidRDefault="00F046FE">
            <w:pPr>
              <w:jc w:val="center"/>
            </w:pPr>
            <w:r>
              <w:rPr>
                <w:b/>
                <w:bCs/>
                <w:color w:val="FFFFFF"/>
                <w:sz w:val="20"/>
                <w:szCs w:val="20"/>
              </w:rPr>
              <w:t>Condition</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D3513A" w:rsidRDefault="00F046FE">
            <w:pPr>
              <w:jc w:val="center"/>
            </w:pPr>
            <w:r>
              <w:rPr>
                <w:b/>
                <w:bCs/>
                <w:color w:val="FFFFFF"/>
                <w:sz w:val="20"/>
                <w:szCs w:val="20"/>
              </w:rPr>
              <w:t>Threshold</w:t>
            </w:r>
          </w:p>
        </w:tc>
        <w:tc>
          <w:tcPr>
            <w:tcW w:w="35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rsidR="00D3513A" w:rsidRDefault="00F046FE">
            <w:pPr>
              <w:jc w:val="center"/>
            </w:pPr>
            <w:r>
              <w:rPr>
                <w:b/>
                <w:bCs/>
                <w:color w:val="FFFFFF"/>
                <w:sz w:val="20"/>
                <w:szCs w:val="20"/>
              </w:rPr>
              <w:t>Rationale</w:t>
            </w:r>
          </w:p>
        </w:tc>
      </w:tr>
      <w:tr w:rsidR="00D3513A">
        <w:tc>
          <w:tcPr>
            <w:tcW w:w="35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MAPE improvement — festive window (Oct–Dec)</w:t>
            </w:r>
          </w:p>
        </w:tc>
        <w:tc>
          <w:tcPr>
            <w:tcW w:w="30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TFT MAPE &lt; Snowflake MAPE</w:t>
            </w:r>
          </w:p>
        </w:tc>
        <w:tc>
          <w:tcPr>
            <w:tcW w:w="35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Festive period is the highest-stakes forecasting challenge for the business.</w:t>
            </w:r>
          </w:p>
        </w:tc>
      </w:tr>
      <w:tr w:rsidR="00D3513A">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MAPE parity — lean window (Jan–Mar)</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TFT MAPE within 5% of Snowflake MAPE</w:t>
            </w:r>
          </w:p>
        </w:tc>
        <w:tc>
          <w:tcPr>
            <w:tcW w:w="3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TFT should not meaningfully regress on lean months while winning on festive.</w:t>
            </w:r>
          </w:p>
        </w:tc>
      </w:tr>
      <w:tr w:rsidR="00D3513A">
        <w:tc>
          <w:tcPr>
            <w:tcW w:w="35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Overall 6-month MAPE</w:t>
            </w:r>
          </w:p>
        </w:tc>
        <w:tc>
          <w:tcPr>
            <w:tcW w:w="30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TFT MAPE ≤ Snowflake MAPE</w:t>
            </w:r>
          </w:p>
        </w:tc>
        <w:tc>
          <w:tcPr>
            <w:tcW w:w="35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rsidR="00D3513A" w:rsidRDefault="00F046FE">
            <w:r>
              <w:rPr>
                <w:color w:val="222222"/>
                <w:sz w:val="20"/>
                <w:szCs w:val="20"/>
              </w:rPr>
              <w:t>TFT should win or match on the full test window in aggregate.</w:t>
            </w:r>
          </w:p>
        </w:tc>
      </w:tr>
      <w:tr w:rsidR="00D3513A">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Secondary festive validation (Oct–Dec 2024)</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TFT MAPE &lt; Snowflake MAPE</w:t>
            </w:r>
          </w:p>
        </w:tc>
        <w:tc>
          <w:tcPr>
            <w:tcW w:w="3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rsidR="00D3513A" w:rsidRDefault="00F046FE">
            <w:r>
              <w:rPr>
                <w:color w:val="222222"/>
                <w:sz w:val="20"/>
                <w:szCs w:val="20"/>
              </w:rPr>
              <w:t>Consistent festive outperformance across two cycles strengthens the upgrade case.</w:t>
            </w:r>
          </w:p>
        </w:tc>
      </w:tr>
    </w:tbl>
    <w:p w:rsidR="001C112C" w:rsidRDefault="001C112C">
      <w:pPr>
        <w:pStyle w:val="Heading2"/>
      </w:pPr>
      <w:r>
        <w:t>6. Data Availability by Grouping of Months</w:t>
      </w:r>
    </w:p>
    <w:p w:rsidR="001C112C" w:rsidRDefault="001C112C">
      <w:pPr>
        <w:spacing w:after="160"/>
      </w:pPr>
      <w:r>
        <w:t xml:space="preserve">The table below shows the count of unique dealer-model family combinations by data availability. Only combinations with </w:t>
      </w:r>
      <w:r>
        <w:rPr>
          <w:b/>
          <w:bCs/>
        </w:rPr>
        <w:t>≥24 months</w:t>
      </w:r>
      <w:r>
        <w:t xml:space="preserve"> of history are included in model training, ensuring a minimum of two complete festive cycles per series.</w:t>
      </w:r>
    </w:p>
    <w:tbl>
      <w:tblPr>
        <w:tblW w:w="10080" w:type="dxa"/>
        <w:tblBorders>
          <w:top w:val="single" w:sz="4" w:space="0" w:color="1F3864"/>
          <w:left w:val="single" w:sz="4" w:space="0" w:color="1F3864"/>
          <w:bottom w:val="single" w:sz="4" w:space="0" w:color="1F3864"/>
          <w:right w:val="single" w:sz="4" w:space="0" w:color="1F3864"/>
          <w:insideH w:val="single" w:sz="4" w:space="0" w:color="BBBBBB"/>
          <w:insideV w:val="single" w:sz="4" w:space="0" w:color="BBBBBB"/>
        </w:tblBorders>
        <w:tblLook w:val="0000" w:firstRow="0" w:lastRow="0" w:firstColumn="0" w:lastColumn="0" w:noHBand="0" w:noVBand="0"/>
      </w:tblPr>
      <w:tblGrid>
        <w:gridCol w:w="2711"/>
        <w:gridCol w:w="5779"/>
        <w:gridCol w:w="1590"/>
      </w:tblGrid>
      <w:tr w:rsidR="001C112C" w:rsidTr="00001D37">
        <w:trPr>
          <w:tblHeader/>
        </w:trPr>
        <w:tc>
          <w:tcPr>
            <w:tcW w:w="2711" w:type="dxa"/>
            <w:shd w:val="clear" w:color="auto" w:fill="1F3864"/>
            <w:tcMar>
              <w:top w:w="100" w:type="dxa"/>
              <w:left w:w="150" w:type="dxa"/>
              <w:bottom w:w="100" w:type="dxa"/>
              <w:right w:w="150" w:type="dxa"/>
            </w:tcMar>
            <w:vAlign w:val="center"/>
          </w:tcPr>
          <w:p w:rsidR="00314592" w:rsidRDefault="00001D37">
            <w:pPr>
              <w:jc w:val="center"/>
            </w:pPr>
            <w:r>
              <w:rPr>
                <w:b/>
                <w:bCs/>
                <w:color w:val="FFFFFF"/>
                <w:sz w:val="20"/>
                <w:szCs w:val="20"/>
              </w:rPr>
              <w:t>Months of Data Available</w:t>
            </w:r>
          </w:p>
        </w:tc>
        <w:tc>
          <w:tcPr>
            <w:tcW w:w="5779" w:type="dxa"/>
            <w:shd w:val="clear" w:color="auto" w:fill="1F3864"/>
            <w:tcMar>
              <w:top w:w="100" w:type="dxa"/>
              <w:left w:w="150" w:type="dxa"/>
              <w:bottom w:w="100" w:type="dxa"/>
              <w:right w:w="150" w:type="dxa"/>
            </w:tcMar>
            <w:vAlign w:val="center"/>
          </w:tcPr>
          <w:p w:rsidR="00314592" w:rsidRDefault="00001D37">
            <w:pPr>
              <w:jc w:val="center"/>
            </w:pPr>
            <w:r>
              <w:rPr>
                <w:b/>
                <w:bCs/>
                <w:color w:val="FFFFFF"/>
                <w:sz w:val="20"/>
                <w:szCs w:val="20"/>
              </w:rPr>
              <w:t>Unique Dealer-Model Combos</w:t>
            </w:r>
          </w:p>
        </w:tc>
        <w:tc>
          <w:tcPr>
            <w:tcW w:w="1590" w:type="dxa"/>
            <w:shd w:val="clear" w:color="auto" w:fill="1F3864"/>
            <w:tcMar>
              <w:top w:w="100" w:type="dxa"/>
              <w:left w:w="150" w:type="dxa"/>
              <w:bottom w:w="100" w:type="dxa"/>
              <w:right w:w="150" w:type="dxa"/>
            </w:tcMar>
            <w:vAlign w:val="center"/>
          </w:tcPr>
          <w:p w:rsidR="00314592" w:rsidRDefault="00001D37">
            <w:pPr>
              <w:jc w:val="center"/>
            </w:pPr>
            <w:r>
              <w:rPr>
                <w:b/>
                <w:bCs/>
                <w:color w:val="FFFFFF"/>
                <w:sz w:val="20"/>
                <w:szCs w:val="20"/>
              </w:rPr>
              <w:t>Included in Training</w:t>
            </w:r>
          </w:p>
        </w:tc>
      </w:tr>
      <w:tr w:rsidR="001C112C" w:rsidTr="00001D37">
        <w:tc>
          <w:tcPr>
            <w:tcW w:w="2711" w:type="dxa"/>
            <w:shd w:val="clear" w:color="auto" w:fill="D9EAD3"/>
            <w:tcMar>
              <w:top w:w="80" w:type="dxa"/>
              <w:left w:w="150" w:type="dxa"/>
              <w:bottom w:w="80" w:type="dxa"/>
              <w:right w:w="150" w:type="dxa"/>
            </w:tcMar>
            <w:vAlign w:val="center"/>
          </w:tcPr>
          <w:p w:rsidR="00314592" w:rsidRDefault="00001D37">
            <w:r>
              <w:rPr>
                <w:b/>
                <w:bCs/>
                <w:color w:val="1E5C1E"/>
                <w:sz w:val="20"/>
                <w:szCs w:val="20"/>
              </w:rPr>
              <w:t>≥24 months</w:t>
            </w:r>
          </w:p>
        </w:tc>
        <w:tc>
          <w:tcPr>
            <w:tcW w:w="5779" w:type="dxa"/>
            <w:shd w:val="clear" w:color="auto" w:fill="D9EAD3"/>
            <w:tcMar>
              <w:top w:w="80" w:type="dxa"/>
              <w:left w:w="150" w:type="dxa"/>
              <w:bottom w:w="80" w:type="dxa"/>
              <w:right w:w="150" w:type="dxa"/>
            </w:tcMar>
            <w:vAlign w:val="center"/>
          </w:tcPr>
          <w:p w:rsidR="00314592" w:rsidRDefault="00001D37">
            <w:pPr>
              <w:jc w:val="center"/>
            </w:pPr>
            <w:r>
              <w:rPr>
                <w:b/>
                <w:bCs/>
                <w:color w:val="1E5C1E"/>
                <w:sz w:val="20"/>
                <w:szCs w:val="20"/>
              </w:rPr>
              <w:t>74,383</w:t>
            </w:r>
          </w:p>
        </w:tc>
        <w:tc>
          <w:tcPr>
            <w:tcW w:w="1590" w:type="dxa"/>
            <w:shd w:val="clear" w:color="auto" w:fill="D9EAD3"/>
            <w:tcMar>
              <w:top w:w="80" w:type="dxa"/>
              <w:left w:w="150" w:type="dxa"/>
              <w:bottom w:w="80" w:type="dxa"/>
              <w:right w:w="150" w:type="dxa"/>
            </w:tcMar>
            <w:vAlign w:val="center"/>
          </w:tcPr>
          <w:p w:rsidR="00314592" w:rsidRDefault="00001D37">
            <w:pPr>
              <w:jc w:val="center"/>
            </w:pPr>
            <w:r>
              <w:rPr>
                <w:b/>
                <w:bCs/>
                <w:color w:val="1E5C1E"/>
                <w:sz w:val="20"/>
                <w:szCs w:val="20"/>
              </w:rPr>
              <w:t>✓ Yes</w:t>
            </w:r>
          </w:p>
        </w:tc>
      </w:tr>
      <w:tr w:rsidR="001C112C" w:rsidTr="00001D37">
        <w:tc>
          <w:tcPr>
            <w:tcW w:w="2711" w:type="dxa"/>
            <w:shd w:val="clear" w:color="auto" w:fill="F2F2F2"/>
            <w:tcMar>
              <w:top w:w="80" w:type="dxa"/>
              <w:left w:w="150" w:type="dxa"/>
              <w:bottom w:w="80" w:type="dxa"/>
              <w:right w:w="150" w:type="dxa"/>
            </w:tcMar>
            <w:vAlign w:val="center"/>
          </w:tcPr>
          <w:p w:rsidR="00314592" w:rsidRDefault="00001D37">
            <w:r>
              <w:rPr>
                <w:color w:val="888888"/>
                <w:sz w:val="20"/>
                <w:szCs w:val="20"/>
              </w:rPr>
              <w:t>18 to 23 months</w:t>
            </w:r>
          </w:p>
        </w:tc>
        <w:tc>
          <w:tcPr>
            <w:tcW w:w="5779" w:type="dxa"/>
            <w:shd w:val="clear" w:color="auto" w:fill="F2F2F2"/>
            <w:tcMar>
              <w:top w:w="80" w:type="dxa"/>
              <w:left w:w="150" w:type="dxa"/>
              <w:bottom w:w="80" w:type="dxa"/>
              <w:right w:w="150" w:type="dxa"/>
            </w:tcMar>
            <w:vAlign w:val="center"/>
          </w:tcPr>
          <w:p w:rsidR="00314592" w:rsidRDefault="00001D37">
            <w:pPr>
              <w:jc w:val="center"/>
            </w:pPr>
            <w:r>
              <w:rPr>
                <w:color w:val="888888"/>
                <w:sz w:val="20"/>
                <w:szCs w:val="20"/>
              </w:rPr>
              <w:t>9,505</w:t>
            </w:r>
          </w:p>
        </w:tc>
        <w:tc>
          <w:tcPr>
            <w:tcW w:w="1590" w:type="dxa"/>
            <w:shd w:val="clear" w:color="auto" w:fill="F2F2F2"/>
            <w:tcMar>
              <w:top w:w="80" w:type="dxa"/>
              <w:left w:w="150" w:type="dxa"/>
              <w:bottom w:w="80" w:type="dxa"/>
              <w:right w:w="150" w:type="dxa"/>
            </w:tcMar>
            <w:vAlign w:val="center"/>
          </w:tcPr>
          <w:p w:rsidR="00314592" w:rsidRDefault="00001D37">
            <w:pPr>
              <w:jc w:val="center"/>
            </w:pPr>
            <w:r>
              <w:rPr>
                <w:color w:val="888888"/>
                <w:sz w:val="20"/>
                <w:szCs w:val="20"/>
              </w:rPr>
              <w:t>✗ Excluded</w:t>
            </w:r>
          </w:p>
        </w:tc>
      </w:tr>
      <w:tr w:rsidR="001C112C" w:rsidTr="00001D37">
        <w:tc>
          <w:tcPr>
            <w:tcW w:w="2711" w:type="dxa"/>
            <w:shd w:val="clear" w:color="auto" w:fill="FFFFFF"/>
            <w:tcMar>
              <w:top w:w="80" w:type="dxa"/>
              <w:left w:w="150" w:type="dxa"/>
              <w:bottom w:w="80" w:type="dxa"/>
              <w:right w:w="150" w:type="dxa"/>
            </w:tcMar>
            <w:vAlign w:val="center"/>
          </w:tcPr>
          <w:p w:rsidR="00314592" w:rsidRDefault="00001D37">
            <w:r>
              <w:rPr>
                <w:color w:val="888888"/>
                <w:sz w:val="20"/>
                <w:szCs w:val="20"/>
              </w:rPr>
              <w:t>12 to 17 months</w:t>
            </w:r>
          </w:p>
        </w:tc>
        <w:tc>
          <w:tcPr>
            <w:tcW w:w="5779" w:type="dxa"/>
            <w:shd w:val="clear" w:color="auto" w:fill="FFFFFF"/>
            <w:tcMar>
              <w:top w:w="80" w:type="dxa"/>
              <w:left w:w="150" w:type="dxa"/>
              <w:bottom w:w="80" w:type="dxa"/>
              <w:right w:w="150" w:type="dxa"/>
            </w:tcMar>
            <w:vAlign w:val="center"/>
          </w:tcPr>
          <w:p w:rsidR="00314592" w:rsidRDefault="00001D37">
            <w:pPr>
              <w:jc w:val="center"/>
            </w:pPr>
            <w:r>
              <w:rPr>
                <w:color w:val="888888"/>
                <w:sz w:val="20"/>
                <w:szCs w:val="20"/>
              </w:rPr>
              <w:t>9,261</w:t>
            </w:r>
          </w:p>
        </w:tc>
        <w:tc>
          <w:tcPr>
            <w:tcW w:w="1590" w:type="dxa"/>
            <w:shd w:val="clear" w:color="auto" w:fill="FFFFFF"/>
            <w:tcMar>
              <w:top w:w="80" w:type="dxa"/>
              <w:left w:w="150" w:type="dxa"/>
              <w:bottom w:w="80" w:type="dxa"/>
              <w:right w:w="150" w:type="dxa"/>
            </w:tcMar>
            <w:vAlign w:val="center"/>
          </w:tcPr>
          <w:p w:rsidR="00314592" w:rsidRDefault="00001D37">
            <w:pPr>
              <w:jc w:val="center"/>
            </w:pPr>
            <w:r>
              <w:rPr>
                <w:color w:val="888888"/>
                <w:sz w:val="20"/>
                <w:szCs w:val="20"/>
              </w:rPr>
              <w:t>✗ Excluded</w:t>
            </w:r>
          </w:p>
        </w:tc>
      </w:tr>
      <w:tr w:rsidR="001C112C" w:rsidTr="00001D37">
        <w:tc>
          <w:tcPr>
            <w:tcW w:w="2711" w:type="dxa"/>
            <w:shd w:val="clear" w:color="auto" w:fill="F2F2F2"/>
            <w:tcMar>
              <w:top w:w="80" w:type="dxa"/>
              <w:left w:w="150" w:type="dxa"/>
              <w:bottom w:w="80" w:type="dxa"/>
              <w:right w:w="150" w:type="dxa"/>
            </w:tcMar>
            <w:vAlign w:val="center"/>
          </w:tcPr>
          <w:p w:rsidR="00314592" w:rsidRDefault="00001D37">
            <w:r>
              <w:rPr>
                <w:color w:val="888888"/>
                <w:sz w:val="20"/>
                <w:szCs w:val="20"/>
              </w:rPr>
              <w:t>&lt;12 months</w:t>
            </w:r>
          </w:p>
        </w:tc>
        <w:tc>
          <w:tcPr>
            <w:tcW w:w="5779" w:type="dxa"/>
            <w:shd w:val="clear" w:color="auto" w:fill="F2F2F2"/>
            <w:tcMar>
              <w:top w:w="80" w:type="dxa"/>
              <w:left w:w="150" w:type="dxa"/>
              <w:bottom w:w="80" w:type="dxa"/>
              <w:right w:w="150" w:type="dxa"/>
            </w:tcMar>
            <w:vAlign w:val="center"/>
          </w:tcPr>
          <w:p w:rsidR="00314592" w:rsidRDefault="00001D37">
            <w:pPr>
              <w:jc w:val="center"/>
            </w:pPr>
            <w:r>
              <w:rPr>
                <w:color w:val="888888"/>
                <w:sz w:val="20"/>
                <w:szCs w:val="20"/>
              </w:rPr>
              <w:t>15,699</w:t>
            </w:r>
          </w:p>
        </w:tc>
        <w:tc>
          <w:tcPr>
            <w:tcW w:w="1590" w:type="dxa"/>
            <w:shd w:val="clear" w:color="auto" w:fill="F2F2F2"/>
            <w:tcMar>
              <w:top w:w="80" w:type="dxa"/>
              <w:left w:w="150" w:type="dxa"/>
              <w:bottom w:w="80" w:type="dxa"/>
              <w:right w:w="150" w:type="dxa"/>
            </w:tcMar>
            <w:vAlign w:val="center"/>
          </w:tcPr>
          <w:p w:rsidR="00314592" w:rsidRDefault="00001D37">
            <w:pPr>
              <w:jc w:val="center"/>
            </w:pPr>
            <w:r>
              <w:rPr>
                <w:color w:val="888888"/>
                <w:sz w:val="20"/>
                <w:szCs w:val="20"/>
              </w:rPr>
              <w:t>✗ Excluded</w:t>
            </w:r>
          </w:p>
        </w:tc>
      </w:tr>
      <w:tr w:rsidR="001C112C" w:rsidTr="00001D37">
        <w:tc>
          <w:tcPr>
            <w:tcW w:w="2711" w:type="dxa"/>
            <w:shd w:val="clear" w:color="auto" w:fill="1F3864"/>
            <w:tcMar>
              <w:top w:w="100" w:type="dxa"/>
              <w:left w:w="150" w:type="dxa"/>
              <w:bottom w:w="100" w:type="dxa"/>
              <w:right w:w="150" w:type="dxa"/>
            </w:tcMar>
            <w:vAlign w:val="center"/>
          </w:tcPr>
          <w:p w:rsidR="00314592" w:rsidRDefault="00001D37">
            <w:r>
              <w:rPr>
                <w:b/>
                <w:bCs/>
                <w:color w:val="FFFFFF"/>
                <w:sz w:val="20"/>
                <w:szCs w:val="20"/>
              </w:rPr>
              <w:t>Total</w:t>
            </w:r>
          </w:p>
        </w:tc>
        <w:tc>
          <w:tcPr>
            <w:tcW w:w="5779" w:type="dxa"/>
            <w:shd w:val="clear" w:color="auto" w:fill="1F3864"/>
            <w:tcMar>
              <w:top w:w="100" w:type="dxa"/>
              <w:left w:w="150" w:type="dxa"/>
              <w:bottom w:w="100" w:type="dxa"/>
              <w:right w:w="150" w:type="dxa"/>
            </w:tcMar>
            <w:vAlign w:val="center"/>
          </w:tcPr>
          <w:p w:rsidR="00314592" w:rsidRDefault="00001D37">
            <w:pPr>
              <w:jc w:val="center"/>
            </w:pPr>
            <w:r>
              <w:rPr>
                <w:b/>
                <w:bCs/>
                <w:color w:val="FFFFFF"/>
                <w:sz w:val="20"/>
                <w:szCs w:val="20"/>
              </w:rPr>
              <w:t>108,848</w:t>
            </w:r>
          </w:p>
        </w:tc>
        <w:tc>
          <w:tcPr>
            <w:tcW w:w="1590" w:type="dxa"/>
            <w:shd w:val="clear" w:color="auto" w:fill="1F3864"/>
            <w:tcMar>
              <w:top w:w="100" w:type="dxa"/>
              <w:left w:w="150" w:type="dxa"/>
              <w:bottom w:w="100" w:type="dxa"/>
              <w:right w:w="150" w:type="dxa"/>
            </w:tcMar>
            <w:vAlign w:val="center"/>
          </w:tcPr>
          <w:p w:rsidR="00314592" w:rsidRDefault="00001D37">
            <w:pPr>
              <w:jc w:val="center"/>
            </w:pPr>
            <w:r>
              <w:rPr>
                <w:b/>
                <w:bCs/>
                <w:color w:val="FFFFFF"/>
                <w:sz w:val="20"/>
                <w:szCs w:val="20"/>
              </w:rPr>
              <w:t>74,383 (68.3%)</w:t>
            </w:r>
          </w:p>
        </w:tc>
      </w:tr>
    </w:tbl>
    <w:p w:rsidR="00DA1A0E" w:rsidRDefault="00DA1A0E">
      <w:pPr>
        <w:spacing w:after="240"/>
      </w:pPr>
    </w:p>
    <w:p w:rsidR="00DA1A0E" w:rsidRDefault="00DA1A0E">
      <w:r>
        <w:br w:type="page"/>
      </w:r>
    </w:p>
    <w:p w:rsidR="00DA1A0E" w:rsidRDefault="00DA1A0E">
      <w:pPr>
        <w:spacing w:after="120"/>
      </w:pPr>
      <w:r>
        <w:lastRenderedPageBreak/>
        <w:t xml:space="preserve">The table above reflects all unique combos across the full dataset. Since the training window is restricted to </w:t>
      </w:r>
      <w:r>
        <w:rPr>
          <w:b/>
          <w:bCs/>
        </w:rPr>
        <w:t>Jan 2022 to Sep 2025</w:t>
      </w:r>
      <w:r>
        <w:t>, the count of unique dealer-model family combinations within the training set differs and is shown below.</w:t>
      </w:r>
    </w:p>
    <w:tbl>
      <w:tblPr>
        <w:tblW w:w="10080" w:type="dxa"/>
        <w:tblBorders>
          <w:top w:val="single" w:sz="4" w:space="0" w:color="1F3864"/>
          <w:left w:val="single" w:sz="4" w:space="0" w:color="1F3864"/>
          <w:bottom w:val="single" w:sz="4" w:space="0" w:color="1F3864"/>
          <w:right w:val="single" w:sz="4" w:space="0" w:color="1F3864"/>
          <w:insideH w:val="single" w:sz="4" w:space="0" w:color="BBBBBB"/>
          <w:insideV w:val="single" w:sz="4" w:space="0" w:color="BBBBBB"/>
        </w:tblBorders>
        <w:tblLook w:val="0000" w:firstRow="0" w:lastRow="0" w:firstColumn="0" w:lastColumn="0" w:noHBand="0" w:noVBand="0"/>
      </w:tblPr>
      <w:tblGrid>
        <w:gridCol w:w="3360"/>
        <w:gridCol w:w="3360"/>
        <w:gridCol w:w="3360"/>
      </w:tblGrid>
      <w:tr w:rsidR="00DA1A0E">
        <w:trPr>
          <w:tblHeader/>
        </w:trPr>
        <w:tc>
          <w:tcPr>
            <w:tcW w:w="3360" w:type="dxa"/>
            <w:shd w:val="clear" w:color="auto" w:fill="1F3864"/>
            <w:tcMar>
              <w:top w:w="100" w:type="dxa"/>
              <w:left w:w="150" w:type="dxa"/>
              <w:bottom w:w="100" w:type="dxa"/>
              <w:right w:w="150" w:type="dxa"/>
            </w:tcMar>
            <w:vAlign w:val="center"/>
          </w:tcPr>
          <w:p w:rsidR="00A52569" w:rsidRDefault="00AF781F">
            <w:pPr>
              <w:jc w:val="center"/>
            </w:pPr>
            <w:r>
              <w:rPr>
                <w:b/>
                <w:bCs/>
                <w:color w:val="FFFFFF"/>
                <w:sz w:val="20"/>
                <w:szCs w:val="20"/>
              </w:rPr>
              <w:t>Months of Data Ava</w:t>
            </w:r>
            <w:r>
              <w:rPr>
                <w:b/>
                <w:bCs/>
                <w:color w:val="FFFFFF"/>
                <w:sz w:val="20"/>
                <w:szCs w:val="20"/>
              </w:rPr>
              <w:t>ilable</w:t>
            </w:r>
          </w:p>
        </w:tc>
        <w:tc>
          <w:tcPr>
            <w:tcW w:w="3360" w:type="dxa"/>
            <w:shd w:val="clear" w:color="auto" w:fill="1F3864"/>
            <w:tcMar>
              <w:top w:w="100" w:type="dxa"/>
              <w:left w:w="150" w:type="dxa"/>
              <w:bottom w:w="100" w:type="dxa"/>
              <w:right w:w="150" w:type="dxa"/>
            </w:tcMar>
            <w:vAlign w:val="center"/>
          </w:tcPr>
          <w:p w:rsidR="00A52569" w:rsidRDefault="00AF781F">
            <w:pPr>
              <w:jc w:val="center"/>
            </w:pPr>
            <w:r>
              <w:rPr>
                <w:b/>
                <w:bCs/>
                <w:color w:val="FFFFFF"/>
                <w:sz w:val="20"/>
                <w:szCs w:val="20"/>
              </w:rPr>
              <w:t>Unique Dealer-Model Combos (Training Set)</w:t>
            </w:r>
          </w:p>
        </w:tc>
        <w:tc>
          <w:tcPr>
            <w:tcW w:w="3360" w:type="dxa"/>
            <w:shd w:val="clear" w:color="auto" w:fill="1F3864"/>
            <w:tcMar>
              <w:top w:w="100" w:type="dxa"/>
              <w:left w:w="150" w:type="dxa"/>
              <w:bottom w:w="100" w:type="dxa"/>
              <w:right w:w="150" w:type="dxa"/>
            </w:tcMar>
            <w:vAlign w:val="center"/>
          </w:tcPr>
          <w:p w:rsidR="00A52569" w:rsidRDefault="00AF781F">
            <w:pPr>
              <w:jc w:val="center"/>
            </w:pPr>
            <w:r>
              <w:rPr>
                <w:b/>
                <w:bCs/>
                <w:color w:val="FFFFFF"/>
                <w:sz w:val="20"/>
                <w:szCs w:val="20"/>
              </w:rPr>
              <w:t>Included in Training</w:t>
            </w:r>
          </w:p>
        </w:tc>
      </w:tr>
      <w:tr w:rsidR="00DA1A0E">
        <w:tc>
          <w:tcPr>
            <w:tcW w:w="3360" w:type="dxa"/>
            <w:shd w:val="clear" w:color="auto" w:fill="D9EAD3"/>
            <w:tcMar>
              <w:top w:w="80" w:type="dxa"/>
              <w:left w:w="150" w:type="dxa"/>
              <w:bottom w:w="80" w:type="dxa"/>
              <w:right w:w="150" w:type="dxa"/>
            </w:tcMar>
            <w:vAlign w:val="center"/>
          </w:tcPr>
          <w:p w:rsidR="00A52569" w:rsidRDefault="00AF781F">
            <w:r>
              <w:rPr>
                <w:b/>
                <w:bCs/>
                <w:color w:val="1E5C1E"/>
                <w:sz w:val="20"/>
                <w:szCs w:val="20"/>
              </w:rPr>
              <w:t>≥24 months</w:t>
            </w:r>
          </w:p>
        </w:tc>
        <w:tc>
          <w:tcPr>
            <w:tcW w:w="3360" w:type="dxa"/>
            <w:shd w:val="clear" w:color="auto" w:fill="D9EAD3"/>
            <w:tcMar>
              <w:top w:w="80" w:type="dxa"/>
              <w:left w:w="150" w:type="dxa"/>
              <w:bottom w:w="80" w:type="dxa"/>
              <w:right w:w="150" w:type="dxa"/>
            </w:tcMar>
            <w:vAlign w:val="center"/>
          </w:tcPr>
          <w:p w:rsidR="00A52569" w:rsidRDefault="00AF781F">
            <w:pPr>
              <w:jc w:val="center"/>
            </w:pPr>
            <w:r>
              <w:rPr>
                <w:b/>
                <w:bCs/>
                <w:color w:val="1E5C1E"/>
                <w:sz w:val="20"/>
                <w:szCs w:val="20"/>
              </w:rPr>
              <w:t>69,908</w:t>
            </w:r>
          </w:p>
        </w:tc>
        <w:tc>
          <w:tcPr>
            <w:tcW w:w="3360" w:type="dxa"/>
            <w:shd w:val="clear" w:color="auto" w:fill="D9EAD3"/>
            <w:tcMar>
              <w:top w:w="80" w:type="dxa"/>
              <w:left w:w="150" w:type="dxa"/>
              <w:bottom w:w="80" w:type="dxa"/>
              <w:right w:w="150" w:type="dxa"/>
            </w:tcMar>
            <w:vAlign w:val="center"/>
          </w:tcPr>
          <w:p w:rsidR="00A52569" w:rsidRDefault="00AF781F">
            <w:pPr>
              <w:jc w:val="center"/>
            </w:pPr>
            <w:r>
              <w:rPr>
                <w:b/>
                <w:bCs/>
                <w:color w:val="1E5C1E"/>
                <w:sz w:val="20"/>
                <w:szCs w:val="20"/>
              </w:rPr>
              <w:t>✓</w:t>
            </w:r>
            <w:r>
              <w:rPr>
                <w:b/>
                <w:bCs/>
                <w:color w:val="1E5C1E"/>
                <w:sz w:val="20"/>
                <w:szCs w:val="20"/>
              </w:rPr>
              <w:t xml:space="preserve"> Yes</w:t>
            </w:r>
          </w:p>
        </w:tc>
      </w:tr>
      <w:tr w:rsidR="00DA1A0E">
        <w:tc>
          <w:tcPr>
            <w:tcW w:w="3360" w:type="dxa"/>
            <w:shd w:val="clear" w:color="auto" w:fill="F2F2F2"/>
            <w:tcMar>
              <w:top w:w="80" w:type="dxa"/>
              <w:left w:w="150" w:type="dxa"/>
              <w:bottom w:w="80" w:type="dxa"/>
              <w:right w:w="150" w:type="dxa"/>
            </w:tcMar>
            <w:vAlign w:val="center"/>
          </w:tcPr>
          <w:p w:rsidR="00A52569" w:rsidRDefault="00AF781F">
            <w:r>
              <w:rPr>
                <w:color w:val="888888"/>
                <w:sz w:val="20"/>
                <w:szCs w:val="20"/>
              </w:rPr>
              <w:t>18 to 23 months</w:t>
            </w:r>
          </w:p>
        </w:tc>
        <w:tc>
          <w:tcPr>
            <w:tcW w:w="3360" w:type="dxa"/>
            <w:shd w:val="clear" w:color="auto" w:fill="F2F2F2"/>
            <w:tcMar>
              <w:top w:w="80" w:type="dxa"/>
              <w:left w:w="150" w:type="dxa"/>
              <w:bottom w:w="80" w:type="dxa"/>
              <w:right w:w="150" w:type="dxa"/>
            </w:tcMar>
            <w:vAlign w:val="center"/>
          </w:tcPr>
          <w:p w:rsidR="00A52569" w:rsidRDefault="00AF781F">
            <w:pPr>
              <w:jc w:val="center"/>
            </w:pPr>
            <w:r>
              <w:rPr>
                <w:color w:val="888888"/>
                <w:sz w:val="20"/>
                <w:szCs w:val="20"/>
              </w:rPr>
              <w:t>8,961</w:t>
            </w:r>
          </w:p>
        </w:tc>
        <w:tc>
          <w:tcPr>
            <w:tcW w:w="3360" w:type="dxa"/>
            <w:shd w:val="clear" w:color="auto" w:fill="F2F2F2"/>
            <w:tcMar>
              <w:top w:w="80" w:type="dxa"/>
              <w:left w:w="150" w:type="dxa"/>
              <w:bottom w:w="80" w:type="dxa"/>
              <w:right w:w="150" w:type="dxa"/>
            </w:tcMar>
            <w:vAlign w:val="center"/>
          </w:tcPr>
          <w:p w:rsidR="00A52569" w:rsidRDefault="00AF781F">
            <w:pPr>
              <w:jc w:val="center"/>
            </w:pPr>
            <w:r>
              <w:rPr>
                <w:color w:val="888888"/>
                <w:sz w:val="20"/>
                <w:szCs w:val="20"/>
              </w:rPr>
              <w:t>✗</w:t>
            </w:r>
            <w:r>
              <w:rPr>
                <w:color w:val="888888"/>
                <w:sz w:val="20"/>
                <w:szCs w:val="20"/>
              </w:rPr>
              <w:t xml:space="preserve"> Excluded</w:t>
            </w:r>
          </w:p>
        </w:tc>
      </w:tr>
      <w:tr w:rsidR="00DA1A0E">
        <w:tc>
          <w:tcPr>
            <w:tcW w:w="3360" w:type="dxa"/>
            <w:shd w:val="clear" w:color="auto" w:fill="FFFFFF"/>
            <w:tcMar>
              <w:top w:w="80" w:type="dxa"/>
              <w:left w:w="150" w:type="dxa"/>
              <w:bottom w:w="80" w:type="dxa"/>
              <w:right w:w="150" w:type="dxa"/>
            </w:tcMar>
            <w:vAlign w:val="center"/>
          </w:tcPr>
          <w:p w:rsidR="00A52569" w:rsidRDefault="00AF781F">
            <w:r>
              <w:rPr>
                <w:color w:val="888888"/>
                <w:sz w:val="20"/>
                <w:szCs w:val="20"/>
              </w:rPr>
              <w:t>12 to 17 months</w:t>
            </w:r>
          </w:p>
        </w:tc>
        <w:tc>
          <w:tcPr>
            <w:tcW w:w="3360" w:type="dxa"/>
            <w:shd w:val="clear" w:color="auto" w:fill="FFFFFF"/>
            <w:tcMar>
              <w:top w:w="80" w:type="dxa"/>
              <w:left w:w="150" w:type="dxa"/>
              <w:bottom w:w="80" w:type="dxa"/>
              <w:right w:w="150" w:type="dxa"/>
            </w:tcMar>
            <w:vAlign w:val="center"/>
          </w:tcPr>
          <w:p w:rsidR="00A52569" w:rsidRDefault="00AF781F">
            <w:pPr>
              <w:jc w:val="center"/>
            </w:pPr>
            <w:r>
              <w:rPr>
                <w:color w:val="888888"/>
                <w:sz w:val="20"/>
                <w:szCs w:val="20"/>
              </w:rPr>
              <w:t>10,171</w:t>
            </w:r>
          </w:p>
        </w:tc>
        <w:tc>
          <w:tcPr>
            <w:tcW w:w="3360" w:type="dxa"/>
            <w:shd w:val="clear" w:color="auto" w:fill="FFFFFF"/>
            <w:tcMar>
              <w:top w:w="80" w:type="dxa"/>
              <w:left w:w="150" w:type="dxa"/>
              <w:bottom w:w="80" w:type="dxa"/>
              <w:right w:w="150" w:type="dxa"/>
            </w:tcMar>
            <w:vAlign w:val="center"/>
          </w:tcPr>
          <w:p w:rsidR="00A52569" w:rsidRDefault="00AF781F">
            <w:pPr>
              <w:jc w:val="center"/>
            </w:pPr>
            <w:r>
              <w:rPr>
                <w:color w:val="888888"/>
                <w:sz w:val="20"/>
                <w:szCs w:val="20"/>
              </w:rPr>
              <w:t>✗</w:t>
            </w:r>
            <w:r>
              <w:rPr>
                <w:color w:val="888888"/>
                <w:sz w:val="20"/>
                <w:szCs w:val="20"/>
              </w:rPr>
              <w:t xml:space="preserve"> Excluded</w:t>
            </w:r>
          </w:p>
        </w:tc>
      </w:tr>
      <w:tr w:rsidR="00DA1A0E">
        <w:tc>
          <w:tcPr>
            <w:tcW w:w="3360" w:type="dxa"/>
            <w:shd w:val="clear" w:color="auto" w:fill="F2F2F2"/>
            <w:tcMar>
              <w:top w:w="80" w:type="dxa"/>
              <w:left w:w="150" w:type="dxa"/>
              <w:bottom w:w="80" w:type="dxa"/>
              <w:right w:w="150" w:type="dxa"/>
            </w:tcMar>
            <w:vAlign w:val="center"/>
          </w:tcPr>
          <w:p w:rsidR="00A52569" w:rsidRDefault="00AF781F">
            <w:r>
              <w:rPr>
                <w:color w:val="888888"/>
                <w:sz w:val="20"/>
                <w:szCs w:val="20"/>
              </w:rPr>
              <w:t>&lt;12 months</w:t>
            </w:r>
          </w:p>
        </w:tc>
        <w:tc>
          <w:tcPr>
            <w:tcW w:w="3360" w:type="dxa"/>
            <w:shd w:val="clear" w:color="auto" w:fill="F2F2F2"/>
            <w:tcMar>
              <w:top w:w="80" w:type="dxa"/>
              <w:left w:w="150" w:type="dxa"/>
              <w:bottom w:w="80" w:type="dxa"/>
              <w:right w:w="150" w:type="dxa"/>
            </w:tcMar>
            <w:vAlign w:val="center"/>
          </w:tcPr>
          <w:p w:rsidR="00A52569" w:rsidRDefault="00AF781F">
            <w:pPr>
              <w:jc w:val="center"/>
            </w:pPr>
            <w:r>
              <w:rPr>
                <w:color w:val="888888"/>
                <w:sz w:val="20"/>
                <w:szCs w:val="20"/>
              </w:rPr>
              <w:t>12,715</w:t>
            </w:r>
          </w:p>
        </w:tc>
        <w:tc>
          <w:tcPr>
            <w:tcW w:w="3360" w:type="dxa"/>
            <w:shd w:val="clear" w:color="auto" w:fill="F2F2F2"/>
            <w:tcMar>
              <w:top w:w="80" w:type="dxa"/>
              <w:left w:w="150" w:type="dxa"/>
              <w:bottom w:w="80" w:type="dxa"/>
              <w:right w:w="150" w:type="dxa"/>
            </w:tcMar>
            <w:vAlign w:val="center"/>
          </w:tcPr>
          <w:p w:rsidR="00A52569" w:rsidRDefault="00AF781F">
            <w:pPr>
              <w:jc w:val="center"/>
            </w:pPr>
            <w:r>
              <w:rPr>
                <w:color w:val="888888"/>
                <w:sz w:val="20"/>
                <w:szCs w:val="20"/>
              </w:rPr>
              <w:t>✗</w:t>
            </w:r>
            <w:r>
              <w:rPr>
                <w:color w:val="888888"/>
                <w:sz w:val="20"/>
                <w:szCs w:val="20"/>
              </w:rPr>
              <w:t xml:space="preserve"> Excluded</w:t>
            </w:r>
          </w:p>
        </w:tc>
      </w:tr>
      <w:tr w:rsidR="00DA1A0E">
        <w:tc>
          <w:tcPr>
            <w:tcW w:w="3360" w:type="dxa"/>
            <w:shd w:val="clear" w:color="auto" w:fill="1F3864"/>
            <w:tcMar>
              <w:top w:w="100" w:type="dxa"/>
              <w:left w:w="150" w:type="dxa"/>
              <w:bottom w:w="100" w:type="dxa"/>
              <w:right w:w="150" w:type="dxa"/>
            </w:tcMar>
            <w:vAlign w:val="center"/>
          </w:tcPr>
          <w:p w:rsidR="00A52569" w:rsidRDefault="00AF781F">
            <w:r>
              <w:rPr>
                <w:b/>
                <w:bCs/>
                <w:color w:val="FFFFFF"/>
                <w:sz w:val="20"/>
                <w:szCs w:val="20"/>
              </w:rPr>
              <w:t>Total</w:t>
            </w:r>
          </w:p>
        </w:tc>
        <w:tc>
          <w:tcPr>
            <w:tcW w:w="3360" w:type="dxa"/>
            <w:shd w:val="clear" w:color="auto" w:fill="1F3864"/>
            <w:tcMar>
              <w:top w:w="100" w:type="dxa"/>
              <w:left w:w="150" w:type="dxa"/>
              <w:bottom w:w="100" w:type="dxa"/>
              <w:right w:w="150" w:type="dxa"/>
            </w:tcMar>
            <w:vAlign w:val="center"/>
          </w:tcPr>
          <w:p w:rsidR="00A52569" w:rsidRDefault="00AF781F">
            <w:pPr>
              <w:jc w:val="center"/>
            </w:pPr>
            <w:r>
              <w:rPr>
                <w:b/>
                <w:bCs/>
                <w:color w:val="FFFFFF"/>
                <w:sz w:val="20"/>
                <w:szCs w:val="20"/>
              </w:rPr>
              <w:t>101,755</w:t>
            </w:r>
          </w:p>
        </w:tc>
        <w:tc>
          <w:tcPr>
            <w:tcW w:w="3360" w:type="dxa"/>
            <w:shd w:val="clear" w:color="auto" w:fill="1F3864"/>
            <w:tcMar>
              <w:top w:w="100" w:type="dxa"/>
              <w:left w:w="150" w:type="dxa"/>
              <w:bottom w:w="100" w:type="dxa"/>
              <w:right w:w="150" w:type="dxa"/>
            </w:tcMar>
            <w:vAlign w:val="center"/>
          </w:tcPr>
          <w:p w:rsidR="00A52569" w:rsidRDefault="00AF781F">
            <w:pPr>
              <w:jc w:val="center"/>
            </w:pPr>
            <w:r>
              <w:rPr>
                <w:b/>
                <w:bCs/>
                <w:color w:val="FFFFFF"/>
                <w:sz w:val="20"/>
                <w:szCs w:val="20"/>
              </w:rPr>
              <w:t>69,908 (68.7%)</w:t>
            </w:r>
          </w:p>
        </w:tc>
      </w:tr>
    </w:tbl>
    <w:p w:rsidR="00DA1A0E" w:rsidRDefault="00DA1A0E">
      <w:pPr>
        <w:spacing w:after="240"/>
      </w:pPr>
    </w:p>
    <w:p w:rsidR="00DA1A0E" w:rsidRDefault="00DA1A0E">
      <w:pPr>
        <w:spacing w:after="240"/>
      </w:pPr>
    </w:p>
    <w:p w:rsidR="00DA1A0E" w:rsidRDefault="00DA1A0E">
      <w:pPr>
        <w:spacing w:after="240"/>
      </w:pPr>
    </w:p>
    <w:p w:rsidR="00DA1A0E" w:rsidRDefault="00DA1A0E">
      <w:pPr>
        <w:spacing w:after="240"/>
      </w:pPr>
    </w:p>
    <w:p w:rsidR="00DA1A0E" w:rsidRDefault="00DA1A0E">
      <w:pPr>
        <w:spacing w:after="240"/>
      </w:pPr>
    </w:p>
    <w:p w:rsidR="00DA1A0E" w:rsidRDefault="00DA1A0E">
      <w:pPr>
        <w:spacing w:after="240"/>
      </w:pPr>
    </w:p>
    <w:p w:rsidR="00DA1A0E" w:rsidRDefault="00DA1A0E">
      <w:pPr>
        <w:spacing w:after="240"/>
      </w:pPr>
    </w:p>
    <w:p w:rsidR="001C112C" w:rsidRDefault="001C112C">
      <w:pPr>
        <w:spacing w:after="240"/>
      </w:pPr>
    </w:p>
    <w:p w:rsidR="001C112C" w:rsidRPr="001C112C" w:rsidRDefault="00F046FE" w:rsidP="001C112C">
      <w:pPr>
        <w:pBdr>
          <w:left w:val="single" w:sz="6" w:space="12" w:color="2E75B6"/>
        </w:pBdr>
        <w:spacing w:after="80"/>
        <w:ind w:left="360"/>
        <w:rPr>
          <w:iCs/>
          <w:color w:val="555555"/>
          <w:sz w:val="20"/>
          <w:szCs w:val="20"/>
        </w:rPr>
      </w:pPr>
      <w:r>
        <w:rPr>
          <w:i/>
          <w:iCs/>
          <w:color w:val="555555"/>
          <w:sz w:val="20"/>
          <w:szCs w:val="20"/>
        </w:rPr>
        <w:t>Note: TFT has access to static dealer and product attributes that Snowflake ML Forecast does not natively support. Any performance improvement from TFT therefore reflects both the architectural advantage of TFT and the additional covariate information it can consume.</w:t>
      </w:r>
      <w:r>
        <w:rPr>
          <w:i/>
          <w:iCs/>
          <w:color w:val="555555"/>
          <w:sz w:val="20"/>
          <w:szCs w:val="20"/>
        </w:rPr>
        <w:tab/>
      </w:r>
      <w:r>
        <w:rPr>
          <w:i/>
          <w:iCs/>
          <w:color w:val="555555"/>
          <w:sz w:val="20"/>
          <w:szCs w:val="20"/>
        </w:rPr>
        <w:tab/>
      </w:r>
      <w:r>
        <w:rPr>
          <w:i/>
          <w:iCs/>
          <w:color w:val="555555"/>
          <w:sz w:val="20"/>
          <w:szCs w:val="20"/>
        </w:rPr>
        <w:tab/>
      </w:r>
      <w:r>
        <w:rPr>
          <w:i/>
          <w:iCs/>
          <w:color w:val="555555"/>
          <w:sz w:val="20"/>
          <w:szCs w:val="20"/>
        </w:rPr>
        <w:tab/>
      </w:r>
      <w:r>
        <w:rPr>
          <w:i/>
          <w:iCs/>
          <w:color w:val="555555"/>
          <w:sz w:val="20"/>
          <w:szCs w:val="20"/>
        </w:rPr>
        <w:tab/>
      </w:r>
    </w:p>
    <w:sectPr w:rsidR="001C112C" w:rsidRPr="001C112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6002EE"/>
    <w:multiLevelType w:val="hybridMultilevel"/>
    <w:tmpl w:val="20886748"/>
    <w:lvl w:ilvl="0" w:tplc="CAB4EF04">
      <w:start w:val="1"/>
      <w:numFmt w:val="bullet"/>
      <w:lvlText w:val="●"/>
      <w:lvlJc w:val="left"/>
      <w:pPr>
        <w:ind w:left="720" w:hanging="360"/>
      </w:pPr>
    </w:lvl>
    <w:lvl w:ilvl="1" w:tplc="3440D384">
      <w:start w:val="1"/>
      <w:numFmt w:val="bullet"/>
      <w:lvlText w:val="○"/>
      <w:lvlJc w:val="left"/>
      <w:pPr>
        <w:ind w:left="1440" w:hanging="360"/>
      </w:pPr>
    </w:lvl>
    <w:lvl w:ilvl="2" w:tplc="0F2A3D1C">
      <w:start w:val="1"/>
      <w:numFmt w:val="bullet"/>
      <w:lvlText w:val="■"/>
      <w:lvlJc w:val="left"/>
      <w:pPr>
        <w:ind w:left="2160" w:hanging="360"/>
      </w:pPr>
    </w:lvl>
    <w:lvl w:ilvl="3" w:tplc="C1D22F4C">
      <w:start w:val="1"/>
      <w:numFmt w:val="bullet"/>
      <w:lvlText w:val="●"/>
      <w:lvlJc w:val="left"/>
      <w:pPr>
        <w:ind w:left="2880" w:hanging="360"/>
      </w:pPr>
    </w:lvl>
    <w:lvl w:ilvl="4" w:tplc="F22C0680">
      <w:start w:val="1"/>
      <w:numFmt w:val="bullet"/>
      <w:lvlText w:val="○"/>
      <w:lvlJc w:val="left"/>
      <w:pPr>
        <w:ind w:left="3600" w:hanging="360"/>
      </w:pPr>
    </w:lvl>
    <w:lvl w:ilvl="5" w:tplc="C46C06D6">
      <w:start w:val="1"/>
      <w:numFmt w:val="bullet"/>
      <w:lvlText w:val="■"/>
      <w:lvlJc w:val="left"/>
      <w:pPr>
        <w:ind w:left="4320" w:hanging="360"/>
      </w:pPr>
    </w:lvl>
    <w:lvl w:ilvl="6" w:tplc="ADA62AA0">
      <w:start w:val="1"/>
      <w:numFmt w:val="bullet"/>
      <w:lvlText w:val="●"/>
      <w:lvlJc w:val="left"/>
      <w:pPr>
        <w:ind w:left="5040" w:hanging="360"/>
      </w:pPr>
    </w:lvl>
    <w:lvl w:ilvl="7" w:tplc="C83AF950">
      <w:start w:val="1"/>
      <w:numFmt w:val="bullet"/>
      <w:lvlText w:val="●"/>
      <w:lvlJc w:val="left"/>
      <w:pPr>
        <w:ind w:left="5760" w:hanging="360"/>
      </w:pPr>
    </w:lvl>
    <w:lvl w:ilvl="8" w:tplc="359AB5E8">
      <w:start w:val="1"/>
      <w:numFmt w:val="bullet"/>
      <w:lvlText w:val="●"/>
      <w:lvlJc w:val="left"/>
      <w:pPr>
        <w:ind w:left="6480" w:hanging="360"/>
      </w:pPr>
    </w:lvl>
  </w:abstractNum>
  <w:abstractNum w:abstractNumId="1" w15:restartNumberingAfterBreak="0">
    <w:nsid w:val="6DAC309D"/>
    <w:multiLevelType w:val="hybridMultilevel"/>
    <w:tmpl w:val="6D18A4B2"/>
    <w:lvl w:ilvl="0" w:tplc="B46041BE">
      <w:start w:val="1"/>
      <w:numFmt w:val="bullet"/>
      <w:lvlText w:val="•"/>
      <w:lvlJc w:val="left"/>
      <w:pPr>
        <w:ind w:left="720" w:hanging="360"/>
      </w:pPr>
    </w:lvl>
    <w:lvl w:ilvl="1" w:tplc="7B72312E">
      <w:numFmt w:val="decimal"/>
      <w:lvlText w:val=""/>
      <w:lvlJc w:val="left"/>
    </w:lvl>
    <w:lvl w:ilvl="2" w:tplc="106ED172">
      <w:numFmt w:val="decimal"/>
      <w:lvlText w:val=""/>
      <w:lvlJc w:val="left"/>
    </w:lvl>
    <w:lvl w:ilvl="3" w:tplc="B55C010A">
      <w:numFmt w:val="decimal"/>
      <w:lvlText w:val=""/>
      <w:lvlJc w:val="left"/>
    </w:lvl>
    <w:lvl w:ilvl="4" w:tplc="4CC21776">
      <w:numFmt w:val="decimal"/>
      <w:lvlText w:val=""/>
      <w:lvlJc w:val="left"/>
    </w:lvl>
    <w:lvl w:ilvl="5" w:tplc="53381CE8">
      <w:numFmt w:val="decimal"/>
      <w:lvlText w:val=""/>
      <w:lvlJc w:val="left"/>
    </w:lvl>
    <w:lvl w:ilvl="6" w:tplc="4DECC148">
      <w:numFmt w:val="decimal"/>
      <w:lvlText w:val=""/>
      <w:lvlJc w:val="left"/>
    </w:lvl>
    <w:lvl w:ilvl="7" w:tplc="7BDC41F4">
      <w:numFmt w:val="decimal"/>
      <w:lvlText w:val=""/>
      <w:lvlJc w:val="left"/>
    </w:lvl>
    <w:lvl w:ilvl="8" w:tplc="90101A8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13A"/>
    <w:rsid w:val="00001D37"/>
    <w:rsid w:val="0006311A"/>
    <w:rsid w:val="001C112C"/>
    <w:rsid w:val="00314592"/>
    <w:rsid w:val="00A52569"/>
    <w:rsid w:val="00AF781F"/>
    <w:rsid w:val="00D3513A"/>
    <w:rsid w:val="00DA1A0E"/>
    <w:rsid w:val="00F046FE"/>
    <w:rsid w:val="00F67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6BA975-AD7D-4474-B432-52F7AD30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240" w:after="160"/>
      <w:outlineLvl w:val="0"/>
    </w:pPr>
    <w:rPr>
      <w:b/>
      <w:bCs/>
      <w:color w:val="1F3864"/>
      <w:sz w:val="36"/>
      <w:szCs w:val="36"/>
    </w:rPr>
  </w:style>
  <w:style w:type="paragraph" w:styleId="Heading2">
    <w:name w:val="heading 2"/>
    <w:uiPriority w:val="9"/>
    <w:unhideWhenUsed/>
    <w:qFormat/>
    <w:pPr>
      <w:spacing w:before="20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404387">
      <w:bodyDiv w:val="1"/>
      <w:marLeft w:val="0"/>
      <w:marRight w:val="0"/>
      <w:marTop w:val="0"/>
      <w:marBottom w:val="0"/>
      <w:divBdr>
        <w:top w:val="none" w:sz="0" w:space="0" w:color="auto"/>
        <w:left w:val="none" w:sz="0" w:space="0" w:color="auto"/>
        <w:bottom w:val="none" w:sz="0" w:space="0" w:color="auto"/>
        <w:right w:val="none" w:sz="0" w:space="0" w:color="auto"/>
      </w:divBdr>
    </w:div>
    <w:div w:id="1495099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613A4-77B7-48B0-A2A3-9F3079825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670</Words>
  <Characters>3819</Characters>
  <Application>Microsoft Office Word</Application>
  <DocSecurity>0</DocSecurity>
  <Lines>31</Lines>
  <Paragraphs>8</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SAXENA</cp:lastModifiedBy>
  <cp:revision>8</cp:revision>
  <dcterms:created xsi:type="dcterms:W3CDTF">2026-04-15T06:55:00Z</dcterms:created>
  <dcterms:modified xsi:type="dcterms:W3CDTF">2026-04-15T11:09:00Z</dcterms:modified>
</cp:coreProperties>
</file>