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03228E3" w14:textId="77777777" w:rsidR="00D3513A" w:rsidRDefault="00F046FE">
      <w:pPr>
        <w:pStyle w:val="Heading1"/>
      </w:pPr>
      <w:r>
        <w:t>TFT vs Snowflake ML Forecast — POC Evaluation Strategy</w:t>
      </w:r>
    </w:p>
    <w:p w14:paraId="5F575BD0" w14:textId="77777777" w:rsidR="00D3513A" w:rsidRDefault="00F046FE">
      <w:pPr>
        <w:spacing w:after="200"/>
      </w:pPr>
      <w:r>
        <w:rPr>
          <w:color w:val="444444"/>
        </w:rPr>
        <w:t>This document outlines the train-test strategy for evaluating Temporal Fusion Transformer (TFT) against the current production model (Snowflake ML Forecast / XGBoost) on the two-wheeler dealer-SKU forecasting problem.</w:t>
      </w:r>
    </w:p>
    <w:p w14:paraId="356A221D" w14:textId="77777777" w:rsidR="00D3513A" w:rsidRDefault="00F046FE">
      <w:pPr>
        <w:pStyle w:val="Heading2"/>
      </w:pPr>
      <w:r>
        <w:t>1. POC Objective</w:t>
      </w:r>
    </w:p>
    <w:p w14:paraId="43AB8D6C" w14:textId="77777777" w:rsidR="00D3513A" w:rsidRDefault="00F046FE">
      <w:pPr>
        <w:spacing w:after="200"/>
      </w:pPr>
      <w:r>
        <w:t>Validate whether TFT produces materially better forecasts than Snowflake ML Forecast across both festive and lean demand periods, using identical training data and evaluation windows for both models.</w:t>
      </w:r>
    </w:p>
    <w:p w14:paraId="275D4EBD" w14:textId="77777777" w:rsidR="00D3513A" w:rsidRDefault="00F046FE">
      <w:pPr>
        <w:pStyle w:val="Heading2"/>
      </w:pPr>
      <w:r>
        <w:t>2. Data Filtering Criterion</w:t>
      </w:r>
    </w:p>
    <w:p w14:paraId="41A26EB8" w14:textId="77777777" w:rsidR="00D3513A" w:rsidRDefault="00F046FE">
      <w:pPr>
        <w:spacing w:after="120"/>
      </w:pPr>
      <w:r>
        <w:t>Only dealer-SKU combinations with at least 24 months of data will be included in training. This ensures every series used for training contains a minimum of two complete festive cycles, which is necessary for the model to distinguish genuine seasonal patterns from one-time spikes.</w:t>
      </w:r>
    </w:p>
    <w:p w14:paraId="0F7E5C51" w14:textId="77777777" w:rsidR="00D3513A" w:rsidRDefault="00F046FE">
      <w:pPr>
        <w:spacing w:after="200"/>
      </w:pPr>
      <w:r>
        <w:rPr>
          <w:i/>
          <w:iCs/>
          <w:color w:val="555555"/>
        </w:rPr>
        <w:t>Series with fewer than 24 months are excluded from training but may still receive forecasts at inference time using the trained global model.</w:t>
      </w:r>
    </w:p>
    <w:p w14:paraId="7DA8503C" w14:textId="77777777" w:rsidR="00D3513A" w:rsidRDefault="00F046FE">
      <w:pPr>
        <w:pStyle w:val="Heading2"/>
      </w:pPr>
      <w:r>
        <w:t>3. Train-Test Split Strategy</w:t>
      </w:r>
    </w:p>
    <w:p w14:paraId="3D1B1292" w14:textId="77777777" w:rsidR="00D3513A" w:rsidRDefault="00F046FE">
      <w:pPr>
        <w:spacing w:after="160"/>
      </w:pPr>
      <w:r>
        <w:t>Both models are trained and evaluated on identical windows to ensure a fair, apples-to-apples comparison.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3480"/>
      </w:tblGrid>
      <w:tr w:rsidR="00D3513A" w14:paraId="120DF361" w14:textId="77777777">
        <w:trPr>
          <w:tblHeader/>
        </w:trPr>
        <w:tc>
          <w:tcPr>
            <w:tcW w:w="22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vAlign w:val="center"/>
          </w:tcPr>
          <w:p w14:paraId="52A43FC8" w14:textId="77777777" w:rsidR="00D3513A" w:rsidRDefault="00F046FE">
            <w:pPr>
              <w:jc w:val="center"/>
            </w:pPr>
            <w:r>
              <w:rPr>
                <w:b/>
                <w:bCs/>
                <w:color w:val="FFFFFF"/>
                <w:sz w:val="20"/>
                <w:szCs w:val="20"/>
              </w:rPr>
              <w:t>Dimension</w:t>
            </w:r>
          </w:p>
        </w:tc>
        <w:tc>
          <w:tcPr>
            <w:tcW w:w="22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vAlign w:val="center"/>
          </w:tcPr>
          <w:p w14:paraId="022FC635" w14:textId="77777777" w:rsidR="00D3513A" w:rsidRDefault="00F046FE">
            <w:pPr>
              <w:jc w:val="center"/>
            </w:pPr>
            <w:r>
              <w:rPr>
                <w:b/>
                <w:bCs/>
                <w:color w:val="FFFFFF"/>
                <w:sz w:val="20"/>
                <w:szCs w:val="20"/>
              </w:rPr>
              <w:t>Snowflake ML Forecast</w:t>
            </w:r>
          </w:p>
        </w:tc>
        <w:tc>
          <w:tcPr>
            <w:tcW w:w="22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vAlign w:val="center"/>
          </w:tcPr>
          <w:p w14:paraId="7DD39DF7" w14:textId="77777777" w:rsidR="00D3513A" w:rsidRDefault="00F046FE">
            <w:pPr>
              <w:jc w:val="center"/>
            </w:pPr>
            <w:r>
              <w:rPr>
                <w:b/>
                <w:bCs/>
                <w:color w:val="FFFFFF"/>
                <w:sz w:val="20"/>
                <w:szCs w:val="20"/>
              </w:rPr>
              <w:t>TFT (Darts)</w:t>
            </w:r>
          </w:p>
        </w:tc>
        <w:tc>
          <w:tcPr>
            <w:tcW w:w="348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vAlign w:val="center"/>
          </w:tcPr>
          <w:p w14:paraId="3A600E36" w14:textId="77777777" w:rsidR="00D3513A" w:rsidRDefault="00F046FE">
            <w:pPr>
              <w:jc w:val="center"/>
            </w:pPr>
            <w:r>
              <w:rPr>
                <w:b/>
                <w:bCs/>
                <w:color w:val="FFFFFF"/>
                <w:sz w:val="20"/>
                <w:szCs w:val="20"/>
              </w:rPr>
              <w:t>Rationale</w:t>
            </w:r>
          </w:p>
        </w:tc>
      </w:tr>
      <w:tr w:rsidR="00D3513A" w14:paraId="5D4ABD65" w14:textId="77777777">
        <w:tc>
          <w:tcPr>
            <w:tcW w:w="2200" w:type="dxa"/>
            <w:tcBorders>
              <w:top w:val="single" w:sz="4" w:space="0" w:color="BBBBBB"/>
              <w:left w:val="single" w:sz="4" w:space="0" w:color="BBBBBB"/>
              <w:bottom w:val="single" w:sz="4" w:space="0" w:color="BBBBBB"/>
              <w:right w:val="single" w:sz="4" w:space="0" w:color="BBBBBB"/>
            </w:tcBorders>
            <w:shd w:val="clear" w:color="auto" w:fill="EEF2F8"/>
            <w:tcMar>
              <w:top w:w="80" w:type="dxa"/>
              <w:left w:w="150" w:type="dxa"/>
              <w:bottom w:w="80" w:type="dxa"/>
              <w:right w:w="150" w:type="dxa"/>
            </w:tcMar>
            <w:vAlign w:val="center"/>
          </w:tcPr>
          <w:p w14:paraId="3C3E87D6" w14:textId="77777777" w:rsidR="00D3513A" w:rsidRDefault="00F046FE">
            <w:r>
              <w:rPr>
                <w:b/>
                <w:bCs/>
                <w:color w:val="1F3864"/>
                <w:sz w:val="20"/>
                <w:szCs w:val="20"/>
              </w:rPr>
              <w:t>Training window</w:t>
            </w:r>
          </w:p>
        </w:tc>
        <w:tc>
          <w:tcPr>
            <w:tcW w:w="2200" w:type="dxa"/>
            <w:tcBorders>
              <w:top w:val="single" w:sz="4" w:space="0" w:color="BBBBBB"/>
              <w:left w:val="single" w:sz="4" w:space="0" w:color="BBBBBB"/>
              <w:bottom w:val="single" w:sz="4" w:space="0" w:color="BBBBBB"/>
              <w:right w:val="single" w:sz="4" w:space="0" w:color="BBBBBB"/>
            </w:tcBorders>
            <w:shd w:val="clear" w:color="auto" w:fill="EEF2F8"/>
            <w:tcMar>
              <w:top w:w="80" w:type="dxa"/>
              <w:left w:w="150" w:type="dxa"/>
              <w:bottom w:w="80" w:type="dxa"/>
              <w:right w:w="150" w:type="dxa"/>
            </w:tcMar>
            <w:vAlign w:val="center"/>
          </w:tcPr>
          <w:p w14:paraId="45EDEE0A" w14:textId="77777777" w:rsidR="00D3513A" w:rsidRDefault="00F046FE">
            <w:r>
              <w:rPr>
                <w:color w:val="222222"/>
                <w:sz w:val="20"/>
                <w:szCs w:val="20"/>
              </w:rPr>
              <w:t>Jan 2022 – Sep 2025</w:t>
            </w:r>
          </w:p>
        </w:tc>
        <w:tc>
          <w:tcPr>
            <w:tcW w:w="2200" w:type="dxa"/>
            <w:tcBorders>
              <w:top w:val="single" w:sz="4" w:space="0" w:color="BBBBBB"/>
              <w:left w:val="single" w:sz="4" w:space="0" w:color="BBBBBB"/>
              <w:bottom w:val="single" w:sz="4" w:space="0" w:color="BBBBBB"/>
              <w:right w:val="single" w:sz="4" w:space="0" w:color="BBBBBB"/>
            </w:tcBorders>
            <w:shd w:val="clear" w:color="auto" w:fill="EEF2F8"/>
            <w:tcMar>
              <w:top w:w="80" w:type="dxa"/>
              <w:left w:w="150" w:type="dxa"/>
              <w:bottom w:w="80" w:type="dxa"/>
              <w:right w:w="150" w:type="dxa"/>
            </w:tcMar>
            <w:vAlign w:val="center"/>
          </w:tcPr>
          <w:p w14:paraId="53D1D28B" w14:textId="77777777" w:rsidR="00D3513A" w:rsidRDefault="00F046FE">
            <w:r>
              <w:rPr>
                <w:color w:val="222222"/>
                <w:sz w:val="20"/>
                <w:szCs w:val="20"/>
              </w:rPr>
              <w:t>Jan 2022 – Sep 2025</w:t>
            </w:r>
          </w:p>
        </w:tc>
        <w:tc>
          <w:tcPr>
            <w:tcW w:w="3480" w:type="dxa"/>
            <w:tcBorders>
              <w:top w:val="single" w:sz="4" w:space="0" w:color="BBBBBB"/>
              <w:left w:val="single" w:sz="4" w:space="0" w:color="BBBBBB"/>
              <w:bottom w:val="single" w:sz="4" w:space="0" w:color="BBBBBB"/>
              <w:right w:val="single" w:sz="4" w:space="0" w:color="BBBBBB"/>
            </w:tcBorders>
            <w:shd w:val="clear" w:color="auto" w:fill="EEF2F8"/>
            <w:tcMar>
              <w:top w:w="80" w:type="dxa"/>
              <w:left w:w="150" w:type="dxa"/>
              <w:bottom w:w="80" w:type="dxa"/>
              <w:right w:w="150" w:type="dxa"/>
            </w:tcMar>
            <w:vAlign w:val="center"/>
          </w:tcPr>
          <w:p w14:paraId="33870154" w14:textId="77777777" w:rsidR="00D3513A" w:rsidRDefault="00F046FE">
            <w:r>
              <w:rPr>
                <w:color w:val="222222"/>
                <w:sz w:val="20"/>
                <w:szCs w:val="20"/>
              </w:rPr>
              <w:t>Same window for both ensures fair comparison. No data beyond Sep 2025 is used in training.</w:t>
            </w:r>
          </w:p>
        </w:tc>
      </w:tr>
      <w:tr w:rsidR="00D3513A" w14:paraId="1C2F3B2E"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1750A948" w14:textId="77777777" w:rsidR="00D3513A" w:rsidRDefault="00F046FE">
            <w:r>
              <w:rPr>
                <w:b/>
                <w:bCs/>
                <w:color w:val="1F3864"/>
                <w:sz w:val="20"/>
                <w:szCs w:val="20"/>
              </w:rPr>
              <w:t>Primary test window</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0C7ADD9E" w14:textId="77777777" w:rsidR="00D3513A" w:rsidRDefault="00F046FE">
            <w:r>
              <w:rPr>
                <w:color w:val="222222"/>
                <w:sz w:val="20"/>
                <w:szCs w:val="20"/>
              </w:rPr>
              <w:t>Oct 2025 – Mar 2026</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60949B30" w14:textId="77777777" w:rsidR="00D3513A" w:rsidRDefault="00F046FE">
            <w:r>
              <w:rPr>
                <w:color w:val="222222"/>
                <w:sz w:val="20"/>
                <w:szCs w:val="20"/>
              </w:rPr>
              <w:t>Oct 2025 – Mar 2026</w:t>
            </w:r>
          </w:p>
        </w:tc>
        <w:tc>
          <w:tcPr>
            <w:tcW w:w="34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40126165" w14:textId="77777777" w:rsidR="00D3513A" w:rsidRDefault="00F046FE">
            <w:r>
              <w:rPr>
                <w:color w:val="222222"/>
                <w:sz w:val="20"/>
                <w:szCs w:val="20"/>
              </w:rPr>
              <w:t>6-month window covering both festive (Oct–Dec) and lean (Jan–Mar) periods for comprehensive evaluation.</w:t>
            </w:r>
          </w:p>
        </w:tc>
      </w:tr>
      <w:tr w:rsidR="00D3513A" w14:paraId="7E8DD7D9" w14:textId="77777777">
        <w:tc>
          <w:tcPr>
            <w:tcW w:w="2200" w:type="dxa"/>
            <w:tcBorders>
              <w:top w:val="single" w:sz="4" w:space="0" w:color="BBBBBB"/>
              <w:left w:val="single" w:sz="4" w:space="0" w:color="BBBBBB"/>
              <w:bottom w:val="single" w:sz="4" w:space="0" w:color="BBBBBB"/>
              <w:right w:val="single" w:sz="4" w:space="0" w:color="BBBBBB"/>
            </w:tcBorders>
            <w:shd w:val="clear" w:color="auto" w:fill="EEF2F8"/>
            <w:tcMar>
              <w:top w:w="80" w:type="dxa"/>
              <w:left w:w="150" w:type="dxa"/>
              <w:bottom w:w="80" w:type="dxa"/>
              <w:right w:w="150" w:type="dxa"/>
            </w:tcMar>
            <w:vAlign w:val="center"/>
          </w:tcPr>
          <w:p w14:paraId="5AFE253B" w14:textId="77777777" w:rsidR="00D3513A" w:rsidRDefault="00F046FE">
            <w:r>
              <w:rPr>
                <w:b/>
                <w:bCs/>
                <w:color w:val="1F3864"/>
                <w:sz w:val="20"/>
                <w:szCs w:val="20"/>
              </w:rPr>
              <w:t>Festive sub-window</w:t>
            </w:r>
          </w:p>
        </w:tc>
        <w:tc>
          <w:tcPr>
            <w:tcW w:w="2200" w:type="dxa"/>
            <w:tcBorders>
              <w:top w:val="single" w:sz="4" w:space="0" w:color="BBBBBB"/>
              <w:left w:val="single" w:sz="4" w:space="0" w:color="BBBBBB"/>
              <w:bottom w:val="single" w:sz="4" w:space="0" w:color="BBBBBB"/>
              <w:right w:val="single" w:sz="4" w:space="0" w:color="BBBBBB"/>
            </w:tcBorders>
            <w:shd w:val="clear" w:color="auto" w:fill="EEF2F8"/>
            <w:tcMar>
              <w:top w:w="80" w:type="dxa"/>
              <w:left w:w="150" w:type="dxa"/>
              <w:bottom w:w="80" w:type="dxa"/>
              <w:right w:w="150" w:type="dxa"/>
            </w:tcMar>
            <w:vAlign w:val="center"/>
          </w:tcPr>
          <w:p w14:paraId="62E73A3F" w14:textId="77777777" w:rsidR="00D3513A" w:rsidRDefault="00F046FE">
            <w:r>
              <w:rPr>
                <w:color w:val="222222"/>
                <w:sz w:val="20"/>
                <w:szCs w:val="20"/>
              </w:rPr>
              <w:t>Oct 2025 – Dec 2025</w:t>
            </w:r>
          </w:p>
        </w:tc>
        <w:tc>
          <w:tcPr>
            <w:tcW w:w="2200" w:type="dxa"/>
            <w:tcBorders>
              <w:top w:val="single" w:sz="4" w:space="0" w:color="BBBBBB"/>
              <w:left w:val="single" w:sz="4" w:space="0" w:color="BBBBBB"/>
              <w:bottom w:val="single" w:sz="4" w:space="0" w:color="BBBBBB"/>
              <w:right w:val="single" w:sz="4" w:space="0" w:color="BBBBBB"/>
            </w:tcBorders>
            <w:shd w:val="clear" w:color="auto" w:fill="EEF2F8"/>
            <w:tcMar>
              <w:top w:w="80" w:type="dxa"/>
              <w:left w:w="150" w:type="dxa"/>
              <w:bottom w:w="80" w:type="dxa"/>
              <w:right w:w="150" w:type="dxa"/>
            </w:tcMar>
            <w:vAlign w:val="center"/>
          </w:tcPr>
          <w:p w14:paraId="5BB27FB7" w14:textId="77777777" w:rsidR="00D3513A" w:rsidRDefault="00F046FE">
            <w:r>
              <w:rPr>
                <w:color w:val="222222"/>
                <w:sz w:val="20"/>
                <w:szCs w:val="20"/>
              </w:rPr>
              <w:t>Oct 2025 – Dec 2025</w:t>
            </w:r>
          </w:p>
        </w:tc>
        <w:tc>
          <w:tcPr>
            <w:tcW w:w="3480" w:type="dxa"/>
            <w:tcBorders>
              <w:top w:val="single" w:sz="4" w:space="0" w:color="BBBBBB"/>
              <w:left w:val="single" w:sz="4" w:space="0" w:color="BBBBBB"/>
              <w:bottom w:val="single" w:sz="4" w:space="0" w:color="BBBBBB"/>
              <w:right w:val="single" w:sz="4" w:space="0" w:color="BBBBBB"/>
            </w:tcBorders>
            <w:shd w:val="clear" w:color="auto" w:fill="EEF2F8"/>
            <w:tcMar>
              <w:top w:w="80" w:type="dxa"/>
              <w:left w:w="150" w:type="dxa"/>
              <w:bottom w:w="80" w:type="dxa"/>
              <w:right w:w="150" w:type="dxa"/>
            </w:tcMar>
            <w:vAlign w:val="center"/>
          </w:tcPr>
          <w:p w14:paraId="69DA80D8" w14:textId="77777777" w:rsidR="00D3513A" w:rsidRDefault="00F046FE">
            <w:r>
              <w:rPr>
                <w:color w:val="222222"/>
                <w:sz w:val="20"/>
                <w:szCs w:val="20"/>
              </w:rPr>
              <w:t>Isolates festive period performance. TFT’s key advantage — covariate handling and attention — should be most visible here.</w:t>
            </w:r>
          </w:p>
        </w:tc>
      </w:tr>
      <w:tr w:rsidR="00D3513A" w14:paraId="0213F1F6"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229EA9ED" w14:textId="77777777" w:rsidR="00D3513A" w:rsidRDefault="00F046FE">
            <w:r>
              <w:rPr>
                <w:b/>
                <w:bCs/>
                <w:color w:val="1F3864"/>
                <w:sz w:val="20"/>
                <w:szCs w:val="20"/>
              </w:rPr>
              <w:t>Lean sub-window</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3BE9B9F2" w14:textId="77777777" w:rsidR="00D3513A" w:rsidRDefault="00F046FE">
            <w:r>
              <w:rPr>
                <w:color w:val="222222"/>
                <w:sz w:val="20"/>
                <w:szCs w:val="20"/>
              </w:rPr>
              <w:t>Jan 2026 – Mar 2026</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108F5262" w14:textId="77777777" w:rsidR="00D3513A" w:rsidRDefault="00F046FE">
            <w:r>
              <w:rPr>
                <w:color w:val="222222"/>
                <w:sz w:val="20"/>
                <w:szCs w:val="20"/>
              </w:rPr>
              <w:t>Jan 2026 – Mar 2026</w:t>
            </w:r>
          </w:p>
        </w:tc>
        <w:tc>
          <w:tcPr>
            <w:tcW w:w="34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6558286E" w14:textId="77777777" w:rsidR="00D3513A" w:rsidRDefault="00F046FE">
            <w:r>
              <w:rPr>
                <w:color w:val="222222"/>
                <w:sz w:val="20"/>
                <w:szCs w:val="20"/>
              </w:rPr>
              <w:t>Isolates post-festive lean period performance. Both models should perform comparably here.</w:t>
            </w:r>
          </w:p>
        </w:tc>
      </w:tr>
      <w:tr w:rsidR="00D3513A" w14:paraId="6BE10A3C"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64CD5910" w14:textId="77777777" w:rsidR="00D3513A" w:rsidRDefault="00F046FE">
            <w:r>
              <w:rPr>
                <w:b/>
                <w:bCs/>
                <w:color w:val="1F3864"/>
                <w:sz w:val="20"/>
                <w:szCs w:val="20"/>
              </w:rPr>
              <w:t>Forecast horizon</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34DE9CD2" w14:textId="77777777" w:rsidR="00D3513A" w:rsidRDefault="00F046FE">
            <w:r>
              <w:rPr>
                <w:color w:val="222222"/>
                <w:sz w:val="20"/>
                <w:szCs w:val="20"/>
              </w:rPr>
              <w:t>6 months</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5B32F9B5" w14:textId="77777777" w:rsidR="00D3513A" w:rsidRDefault="00F046FE">
            <w:r>
              <w:rPr>
                <w:color w:val="222222"/>
                <w:sz w:val="20"/>
                <w:szCs w:val="20"/>
              </w:rPr>
              <w:t>6 months</w:t>
            </w:r>
          </w:p>
        </w:tc>
        <w:tc>
          <w:tcPr>
            <w:tcW w:w="34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4DA2714A" w14:textId="77777777" w:rsidR="00D3513A" w:rsidRDefault="00F046FE">
            <w:r>
              <w:rPr>
                <w:color w:val="222222"/>
                <w:sz w:val="20"/>
                <w:szCs w:val="20"/>
              </w:rPr>
              <w:t>Both models make a single 6-month forecast call covering the full test window (Oct’ 25 to Mar’26) in one shot.</w:t>
            </w:r>
          </w:p>
        </w:tc>
      </w:tr>
      <w:tr w:rsidR="00D3513A" w14:paraId="21BAAADB" w14:textId="77777777">
        <w:tc>
          <w:tcPr>
            <w:tcW w:w="2200" w:type="dxa"/>
            <w:tcBorders>
              <w:top w:val="single" w:sz="4" w:space="0" w:color="BBBBBB"/>
              <w:left w:val="single" w:sz="4" w:space="0" w:color="BBBBBB"/>
              <w:bottom w:val="single" w:sz="4" w:space="0" w:color="BBBBBB"/>
              <w:right w:val="single" w:sz="4" w:space="0" w:color="BBBBBB"/>
            </w:tcBorders>
            <w:shd w:val="clear" w:color="auto" w:fill="EEF2F8"/>
            <w:tcMar>
              <w:top w:w="80" w:type="dxa"/>
              <w:left w:w="150" w:type="dxa"/>
              <w:bottom w:w="80" w:type="dxa"/>
              <w:right w:w="150" w:type="dxa"/>
            </w:tcMar>
            <w:vAlign w:val="center"/>
          </w:tcPr>
          <w:p w14:paraId="33527E48" w14:textId="77777777" w:rsidR="00D3513A" w:rsidRDefault="00F046FE">
            <w:r>
              <w:rPr>
                <w:b/>
                <w:bCs/>
                <w:color w:val="1F3864"/>
                <w:sz w:val="20"/>
                <w:szCs w:val="20"/>
              </w:rPr>
              <w:t>Series included</w:t>
            </w:r>
          </w:p>
        </w:tc>
        <w:tc>
          <w:tcPr>
            <w:tcW w:w="2200" w:type="dxa"/>
            <w:tcBorders>
              <w:top w:val="single" w:sz="4" w:space="0" w:color="BBBBBB"/>
              <w:left w:val="single" w:sz="4" w:space="0" w:color="BBBBBB"/>
              <w:bottom w:val="single" w:sz="4" w:space="0" w:color="BBBBBB"/>
              <w:right w:val="single" w:sz="4" w:space="0" w:color="BBBBBB"/>
            </w:tcBorders>
            <w:shd w:val="clear" w:color="auto" w:fill="EEF2F8"/>
            <w:tcMar>
              <w:top w:w="80" w:type="dxa"/>
              <w:left w:w="150" w:type="dxa"/>
              <w:bottom w:w="80" w:type="dxa"/>
              <w:right w:w="150" w:type="dxa"/>
            </w:tcMar>
            <w:vAlign w:val="center"/>
          </w:tcPr>
          <w:p w14:paraId="7EC36BF1" w14:textId="77777777" w:rsidR="00D3513A" w:rsidRDefault="00F046FE">
            <w:r>
              <w:rPr>
                <w:color w:val="222222"/>
                <w:sz w:val="20"/>
                <w:szCs w:val="20"/>
              </w:rPr>
              <w:t>≥24 months of history</w:t>
            </w:r>
          </w:p>
        </w:tc>
        <w:tc>
          <w:tcPr>
            <w:tcW w:w="2200" w:type="dxa"/>
            <w:tcBorders>
              <w:top w:val="single" w:sz="4" w:space="0" w:color="BBBBBB"/>
              <w:left w:val="single" w:sz="4" w:space="0" w:color="BBBBBB"/>
              <w:bottom w:val="single" w:sz="4" w:space="0" w:color="BBBBBB"/>
              <w:right w:val="single" w:sz="4" w:space="0" w:color="BBBBBB"/>
            </w:tcBorders>
            <w:shd w:val="clear" w:color="auto" w:fill="EEF2F8"/>
            <w:tcMar>
              <w:top w:w="80" w:type="dxa"/>
              <w:left w:w="150" w:type="dxa"/>
              <w:bottom w:w="80" w:type="dxa"/>
              <w:right w:w="150" w:type="dxa"/>
            </w:tcMar>
            <w:vAlign w:val="center"/>
          </w:tcPr>
          <w:p w14:paraId="2A10E9F3" w14:textId="77777777" w:rsidR="00D3513A" w:rsidRDefault="00F046FE">
            <w:r>
              <w:rPr>
                <w:color w:val="222222"/>
                <w:sz w:val="20"/>
                <w:szCs w:val="20"/>
              </w:rPr>
              <w:t>≥24 months of history</w:t>
            </w:r>
          </w:p>
        </w:tc>
        <w:tc>
          <w:tcPr>
            <w:tcW w:w="3480" w:type="dxa"/>
            <w:tcBorders>
              <w:top w:val="single" w:sz="4" w:space="0" w:color="BBBBBB"/>
              <w:left w:val="single" w:sz="4" w:space="0" w:color="BBBBBB"/>
              <w:bottom w:val="single" w:sz="4" w:space="0" w:color="BBBBBB"/>
              <w:right w:val="single" w:sz="4" w:space="0" w:color="BBBBBB"/>
            </w:tcBorders>
            <w:shd w:val="clear" w:color="auto" w:fill="EEF2F8"/>
            <w:tcMar>
              <w:top w:w="80" w:type="dxa"/>
              <w:left w:w="150" w:type="dxa"/>
              <w:bottom w:w="80" w:type="dxa"/>
              <w:right w:w="150" w:type="dxa"/>
            </w:tcMar>
            <w:vAlign w:val="center"/>
          </w:tcPr>
          <w:p w14:paraId="65EBCA3E" w14:textId="77777777" w:rsidR="00D3513A" w:rsidRDefault="00F046FE">
            <w:r>
              <w:rPr>
                <w:color w:val="222222"/>
                <w:sz w:val="20"/>
                <w:szCs w:val="20"/>
              </w:rPr>
              <w:t>Minimum two festive cycles required. Shorter series excluded from training to ensure data quality.</w:t>
            </w:r>
          </w:p>
        </w:tc>
      </w:tr>
    </w:tbl>
    <w:p w14:paraId="1139507A" w14:textId="041783CE" w:rsidR="00F046FE" w:rsidRDefault="00F046FE">
      <w:pPr>
        <w:spacing w:after="240"/>
      </w:pPr>
    </w:p>
    <w:p w14:paraId="15282F89" w14:textId="77777777" w:rsidR="00F046FE" w:rsidRDefault="00F046FE">
      <w:r>
        <w:br w:type="page"/>
      </w:r>
    </w:p>
    <w:p w14:paraId="3A87BAD6" w14:textId="77777777" w:rsidR="00D3513A" w:rsidRDefault="00D3513A">
      <w:pPr>
        <w:spacing w:after="240"/>
      </w:pPr>
    </w:p>
    <w:p w14:paraId="5ED125A5" w14:textId="77777777" w:rsidR="00D3513A" w:rsidRDefault="00F046FE">
      <w:pPr>
        <w:pStyle w:val="Heading2"/>
      </w:pPr>
      <w:r>
        <w:t>4. Evaluation Metrics</w:t>
      </w:r>
    </w:p>
    <w:p w14:paraId="189E162B" w14:textId="77777777" w:rsidR="00D3513A" w:rsidRDefault="00F046FE">
      <w:pPr>
        <w:spacing w:after="120"/>
      </w:pPr>
      <w:r>
        <w:t>Performance will be compared across the following metrics, reported both overall and by demand regime:</w:t>
      </w:r>
    </w:p>
    <w:p w14:paraId="03C52054" w14:textId="77777777" w:rsidR="00D3513A" w:rsidRDefault="00F046FE">
      <w:pPr>
        <w:pStyle w:val="ListParagraph"/>
        <w:numPr>
          <w:ilvl w:val="0"/>
          <w:numId w:val="2"/>
        </w:numPr>
        <w:spacing w:after="80"/>
      </w:pPr>
      <w:r>
        <w:rPr>
          <w:b/>
          <w:bCs/>
        </w:rPr>
        <w:t xml:space="preserve">MAPE (Mean Absolute Percentage Error) </w:t>
      </w:r>
      <w:r>
        <w:t>— primary metric, scale-independent and intuitive for business stakeholders</w:t>
      </w:r>
    </w:p>
    <w:p w14:paraId="3C75EC8A" w14:textId="77777777" w:rsidR="00D3513A" w:rsidRDefault="00F046FE">
      <w:pPr>
        <w:pStyle w:val="ListParagraph"/>
        <w:numPr>
          <w:ilvl w:val="0"/>
          <w:numId w:val="2"/>
        </w:numPr>
        <w:spacing w:after="80"/>
      </w:pPr>
      <w:r>
        <w:rPr>
          <w:b/>
          <w:bCs/>
        </w:rPr>
        <w:t xml:space="preserve">RMSE (Root Mean Squared Error) </w:t>
      </w:r>
      <w:r>
        <w:t>— penalises large errors more heavily, relevant for festive spike accuracy</w:t>
      </w:r>
    </w:p>
    <w:p w14:paraId="1300428D" w14:textId="77777777" w:rsidR="00D3513A" w:rsidRDefault="00F046FE">
      <w:pPr>
        <w:pStyle w:val="ListParagraph"/>
        <w:numPr>
          <w:ilvl w:val="0"/>
          <w:numId w:val="2"/>
        </w:numPr>
        <w:spacing w:after="200"/>
      </w:pPr>
      <w:r>
        <w:rPr>
          <w:b/>
          <w:bCs/>
        </w:rPr>
        <w:t xml:space="preserve">Per-series breakdown </w:t>
      </w:r>
      <w:r>
        <w:t>— aggregate metrics can mask cases where TFT wins on some series and loses on others; per-series analysis surfaces this</w:t>
      </w:r>
    </w:p>
    <w:p w14:paraId="0C05DB97" w14:textId="77777777" w:rsidR="00D3513A" w:rsidRDefault="00F046FE">
      <w:pPr>
        <w:pStyle w:val="Heading2"/>
      </w:pPr>
      <w:r>
        <w:t>5. POC Success Criteria</w:t>
      </w:r>
    </w:p>
    <w:p w14:paraId="57C5E474" w14:textId="77777777" w:rsidR="00D3513A" w:rsidRDefault="00F046FE">
      <w:pPr>
        <w:spacing w:after="120"/>
      </w:pPr>
      <w:r>
        <w:t>TFT will be considered a viable upgrade if it meets the following conditions: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000"/>
        <w:gridCol w:w="3580"/>
      </w:tblGrid>
      <w:tr w:rsidR="00D3513A" w14:paraId="57E6B8A0" w14:textId="77777777">
        <w:trPr>
          <w:tblHeader/>
        </w:trPr>
        <w:tc>
          <w:tcPr>
            <w:tcW w:w="35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vAlign w:val="center"/>
          </w:tcPr>
          <w:p w14:paraId="5DDA239C" w14:textId="77777777" w:rsidR="00D3513A" w:rsidRDefault="00F046FE">
            <w:pPr>
              <w:jc w:val="center"/>
            </w:pPr>
            <w:r>
              <w:rPr>
                <w:b/>
                <w:bCs/>
                <w:color w:val="FFFFFF"/>
                <w:sz w:val="20"/>
                <w:szCs w:val="20"/>
              </w:rPr>
              <w:t>Condition</w:t>
            </w:r>
          </w:p>
        </w:tc>
        <w:tc>
          <w:tcPr>
            <w:tcW w:w="30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vAlign w:val="center"/>
          </w:tcPr>
          <w:p w14:paraId="1494FFFA" w14:textId="77777777" w:rsidR="00D3513A" w:rsidRDefault="00F046FE">
            <w:pPr>
              <w:jc w:val="center"/>
            </w:pPr>
            <w:r>
              <w:rPr>
                <w:b/>
                <w:bCs/>
                <w:color w:val="FFFFFF"/>
                <w:sz w:val="20"/>
                <w:szCs w:val="20"/>
              </w:rPr>
              <w:t>Threshold</w:t>
            </w:r>
          </w:p>
        </w:tc>
        <w:tc>
          <w:tcPr>
            <w:tcW w:w="358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vAlign w:val="center"/>
          </w:tcPr>
          <w:p w14:paraId="332CC74E" w14:textId="77777777" w:rsidR="00D3513A" w:rsidRDefault="00F046FE">
            <w:pPr>
              <w:jc w:val="center"/>
            </w:pPr>
            <w:r>
              <w:rPr>
                <w:b/>
                <w:bCs/>
                <w:color w:val="FFFFFF"/>
                <w:sz w:val="20"/>
                <w:szCs w:val="20"/>
              </w:rPr>
              <w:t>Rationale</w:t>
            </w:r>
          </w:p>
        </w:tc>
      </w:tr>
      <w:tr w:rsidR="00D3513A" w14:paraId="5A4CEBD9" w14:textId="77777777">
        <w:tc>
          <w:tcPr>
            <w:tcW w:w="3500" w:type="dxa"/>
            <w:tcBorders>
              <w:top w:val="single" w:sz="4" w:space="0" w:color="BBBBBB"/>
              <w:left w:val="single" w:sz="4" w:space="0" w:color="BBBBBB"/>
              <w:bottom w:val="single" w:sz="4" w:space="0" w:color="BBBBBB"/>
              <w:right w:val="single" w:sz="4" w:space="0" w:color="BBBBBB"/>
            </w:tcBorders>
            <w:shd w:val="clear" w:color="auto" w:fill="EEF2F8"/>
            <w:tcMar>
              <w:top w:w="80" w:type="dxa"/>
              <w:left w:w="150" w:type="dxa"/>
              <w:bottom w:w="80" w:type="dxa"/>
              <w:right w:w="150" w:type="dxa"/>
            </w:tcMar>
            <w:vAlign w:val="center"/>
          </w:tcPr>
          <w:p w14:paraId="4945C24B" w14:textId="77777777" w:rsidR="00D3513A" w:rsidRDefault="00F046FE">
            <w:r>
              <w:rPr>
                <w:color w:val="222222"/>
                <w:sz w:val="20"/>
                <w:szCs w:val="20"/>
              </w:rPr>
              <w:t>MAPE improvement — festive window (Oct–Dec)</w:t>
            </w:r>
          </w:p>
        </w:tc>
        <w:tc>
          <w:tcPr>
            <w:tcW w:w="3000" w:type="dxa"/>
            <w:tcBorders>
              <w:top w:val="single" w:sz="4" w:space="0" w:color="BBBBBB"/>
              <w:left w:val="single" w:sz="4" w:space="0" w:color="BBBBBB"/>
              <w:bottom w:val="single" w:sz="4" w:space="0" w:color="BBBBBB"/>
              <w:right w:val="single" w:sz="4" w:space="0" w:color="BBBBBB"/>
            </w:tcBorders>
            <w:shd w:val="clear" w:color="auto" w:fill="EEF2F8"/>
            <w:tcMar>
              <w:top w:w="80" w:type="dxa"/>
              <w:left w:w="150" w:type="dxa"/>
              <w:bottom w:w="80" w:type="dxa"/>
              <w:right w:w="150" w:type="dxa"/>
            </w:tcMar>
            <w:vAlign w:val="center"/>
          </w:tcPr>
          <w:p w14:paraId="143B8DDE" w14:textId="77777777" w:rsidR="00D3513A" w:rsidRDefault="00F046FE">
            <w:r>
              <w:rPr>
                <w:color w:val="222222"/>
                <w:sz w:val="20"/>
                <w:szCs w:val="20"/>
              </w:rPr>
              <w:t>TFT MAPE &lt; Snowflake MAPE</w:t>
            </w:r>
          </w:p>
        </w:tc>
        <w:tc>
          <w:tcPr>
            <w:tcW w:w="3580" w:type="dxa"/>
            <w:tcBorders>
              <w:top w:val="single" w:sz="4" w:space="0" w:color="BBBBBB"/>
              <w:left w:val="single" w:sz="4" w:space="0" w:color="BBBBBB"/>
              <w:bottom w:val="single" w:sz="4" w:space="0" w:color="BBBBBB"/>
              <w:right w:val="single" w:sz="4" w:space="0" w:color="BBBBBB"/>
            </w:tcBorders>
            <w:shd w:val="clear" w:color="auto" w:fill="EEF2F8"/>
            <w:tcMar>
              <w:top w:w="80" w:type="dxa"/>
              <w:left w:w="150" w:type="dxa"/>
              <w:bottom w:w="80" w:type="dxa"/>
              <w:right w:w="150" w:type="dxa"/>
            </w:tcMar>
            <w:vAlign w:val="center"/>
          </w:tcPr>
          <w:p w14:paraId="4BBE303A" w14:textId="77777777" w:rsidR="00D3513A" w:rsidRDefault="00F046FE">
            <w:r>
              <w:rPr>
                <w:color w:val="222222"/>
                <w:sz w:val="20"/>
                <w:szCs w:val="20"/>
              </w:rPr>
              <w:t>Festive period is the highest-stakes forecasting challenge for the business.</w:t>
            </w:r>
          </w:p>
        </w:tc>
      </w:tr>
      <w:tr w:rsidR="00D3513A" w14:paraId="4777CCC1" w14:textId="77777777">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5400C84F" w14:textId="77777777" w:rsidR="00D3513A" w:rsidRDefault="00F046FE">
            <w:r>
              <w:rPr>
                <w:color w:val="222222"/>
                <w:sz w:val="20"/>
                <w:szCs w:val="20"/>
              </w:rPr>
              <w:t>MAPE parity — lean window (Jan–Mar)</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3D116ECB" w14:textId="77777777" w:rsidR="00D3513A" w:rsidRDefault="00F046FE">
            <w:r>
              <w:rPr>
                <w:color w:val="222222"/>
                <w:sz w:val="20"/>
                <w:szCs w:val="20"/>
              </w:rPr>
              <w:t>TFT MAPE within 5% of Snowflake MAPE</w:t>
            </w:r>
          </w:p>
        </w:tc>
        <w:tc>
          <w:tcPr>
            <w:tcW w:w="35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60D43165" w14:textId="77777777" w:rsidR="00D3513A" w:rsidRDefault="00F046FE">
            <w:r>
              <w:rPr>
                <w:color w:val="222222"/>
                <w:sz w:val="20"/>
                <w:szCs w:val="20"/>
              </w:rPr>
              <w:t>TFT should not meaningfully regress on lean months while winning on festive.</w:t>
            </w:r>
          </w:p>
        </w:tc>
      </w:tr>
      <w:tr w:rsidR="00D3513A" w14:paraId="7D39BBAB" w14:textId="77777777">
        <w:tc>
          <w:tcPr>
            <w:tcW w:w="3500" w:type="dxa"/>
            <w:tcBorders>
              <w:top w:val="single" w:sz="4" w:space="0" w:color="BBBBBB"/>
              <w:left w:val="single" w:sz="4" w:space="0" w:color="BBBBBB"/>
              <w:bottom w:val="single" w:sz="4" w:space="0" w:color="BBBBBB"/>
              <w:right w:val="single" w:sz="4" w:space="0" w:color="BBBBBB"/>
            </w:tcBorders>
            <w:shd w:val="clear" w:color="auto" w:fill="EEF2F8"/>
            <w:tcMar>
              <w:top w:w="80" w:type="dxa"/>
              <w:left w:w="150" w:type="dxa"/>
              <w:bottom w:w="80" w:type="dxa"/>
              <w:right w:w="150" w:type="dxa"/>
            </w:tcMar>
            <w:vAlign w:val="center"/>
          </w:tcPr>
          <w:p w14:paraId="59F6D284" w14:textId="77777777" w:rsidR="00D3513A" w:rsidRDefault="00F046FE">
            <w:r>
              <w:rPr>
                <w:color w:val="222222"/>
                <w:sz w:val="20"/>
                <w:szCs w:val="20"/>
              </w:rPr>
              <w:t>Overall 6-month MAPE</w:t>
            </w:r>
          </w:p>
        </w:tc>
        <w:tc>
          <w:tcPr>
            <w:tcW w:w="3000" w:type="dxa"/>
            <w:tcBorders>
              <w:top w:val="single" w:sz="4" w:space="0" w:color="BBBBBB"/>
              <w:left w:val="single" w:sz="4" w:space="0" w:color="BBBBBB"/>
              <w:bottom w:val="single" w:sz="4" w:space="0" w:color="BBBBBB"/>
              <w:right w:val="single" w:sz="4" w:space="0" w:color="BBBBBB"/>
            </w:tcBorders>
            <w:shd w:val="clear" w:color="auto" w:fill="EEF2F8"/>
            <w:tcMar>
              <w:top w:w="80" w:type="dxa"/>
              <w:left w:w="150" w:type="dxa"/>
              <w:bottom w:w="80" w:type="dxa"/>
              <w:right w:w="150" w:type="dxa"/>
            </w:tcMar>
            <w:vAlign w:val="center"/>
          </w:tcPr>
          <w:p w14:paraId="6CF6F9F4" w14:textId="77777777" w:rsidR="00D3513A" w:rsidRDefault="00F046FE">
            <w:r>
              <w:rPr>
                <w:color w:val="222222"/>
                <w:sz w:val="20"/>
                <w:szCs w:val="20"/>
              </w:rPr>
              <w:t>TFT MAPE ≤ Snowflake MAPE</w:t>
            </w:r>
          </w:p>
        </w:tc>
        <w:tc>
          <w:tcPr>
            <w:tcW w:w="3580" w:type="dxa"/>
            <w:tcBorders>
              <w:top w:val="single" w:sz="4" w:space="0" w:color="BBBBBB"/>
              <w:left w:val="single" w:sz="4" w:space="0" w:color="BBBBBB"/>
              <w:bottom w:val="single" w:sz="4" w:space="0" w:color="BBBBBB"/>
              <w:right w:val="single" w:sz="4" w:space="0" w:color="BBBBBB"/>
            </w:tcBorders>
            <w:shd w:val="clear" w:color="auto" w:fill="EEF2F8"/>
            <w:tcMar>
              <w:top w:w="80" w:type="dxa"/>
              <w:left w:w="150" w:type="dxa"/>
              <w:bottom w:w="80" w:type="dxa"/>
              <w:right w:w="150" w:type="dxa"/>
            </w:tcMar>
            <w:vAlign w:val="center"/>
          </w:tcPr>
          <w:p w14:paraId="59DFE3F9" w14:textId="77777777" w:rsidR="00D3513A" w:rsidRDefault="00F046FE">
            <w:r>
              <w:rPr>
                <w:color w:val="222222"/>
                <w:sz w:val="20"/>
                <w:szCs w:val="20"/>
              </w:rPr>
              <w:t>TFT should win or match on the full test window in aggregate.</w:t>
            </w:r>
          </w:p>
        </w:tc>
      </w:tr>
      <w:tr w:rsidR="00D3513A" w14:paraId="757B8769" w14:textId="77777777">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2AE184C3" w14:textId="77777777" w:rsidR="00D3513A" w:rsidRDefault="00F046FE">
            <w:r>
              <w:rPr>
                <w:color w:val="222222"/>
                <w:sz w:val="20"/>
                <w:szCs w:val="20"/>
              </w:rPr>
              <w:t>Secondary festive validation (Oct–Dec 2024)</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28AEE736" w14:textId="77777777" w:rsidR="00D3513A" w:rsidRDefault="00F046FE">
            <w:r>
              <w:rPr>
                <w:color w:val="222222"/>
                <w:sz w:val="20"/>
                <w:szCs w:val="20"/>
              </w:rPr>
              <w:t>TFT MAPE &lt; Snowflake MAPE</w:t>
            </w:r>
          </w:p>
        </w:tc>
        <w:tc>
          <w:tcPr>
            <w:tcW w:w="35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58E8C933" w14:textId="77777777" w:rsidR="00D3513A" w:rsidRDefault="00F046FE">
            <w:r>
              <w:rPr>
                <w:color w:val="222222"/>
                <w:sz w:val="20"/>
                <w:szCs w:val="20"/>
              </w:rPr>
              <w:t>Consistent festive outperformance across two cycles strengthens the upgrade case.</w:t>
            </w:r>
          </w:p>
        </w:tc>
      </w:tr>
    </w:tbl>
    <w:p w14:paraId="239929AE" w14:textId="77777777" w:rsidR="001C112C" w:rsidRDefault="001C112C">
      <w:pPr>
        <w:spacing w:after="240"/>
      </w:pPr>
      <w:r>
        <w:tab/>
      </w:r>
      <w:r>
        <w:tab/>
      </w:r>
      <w:r>
        <w:tab/>
      </w:r>
      <w:r>
        <w:tab/>
      </w:r>
      <w:r>
        <w:tab/>
      </w:r>
      <w:r>
        <w:tab/>
      </w:r>
      <w:r>
        <w:tab/>
      </w:r>
      <w:r>
        <w:tab/>
      </w:r>
      <w:r>
        <w:tab/>
      </w:r>
      <w:r>
        <w:tab/>
      </w:r>
      <w:r>
        <w:tab/>
      </w:r>
      <w:r>
        <w:tab/>
      </w:r>
      <w:r>
        <w:tab/>
      </w:r>
      <w:r>
        <w:tab/>
      </w:r>
    </w:p>
    <w:tbl>
      <w:tblPr>
        <w:tblW w:w="8180" w:type="dxa"/>
        <w:tblLook w:val="04A0" w:firstRow="1" w:lastRow="0" w:firstColumn="1" w:lastColumn="0" w:noHBand="0" w:noVBand="1"/>
      </w:tblPr>
      <w:tblGrid>
        <w:gridCol w:w="2540"/>
        <w:gridCol w:w="5779"/>
      </w:tblGrid>
      <w:tr w:rsidR="001C112C" w:rsidRPr="001C112C" w14:paraId="629D1222" w14:textId="77777777" w:rsidTr="001C112C">
        <w:trPr>
          <w:trHeight w:val="300"/>
        </w:trPr>
        <w:tc>
          <w:tcPr>
            <w:tcW w:w="2440" w:type="dxa"/>
            <w:tcBorders>
              <w:top w:val="single" w:sz="8" w:space="0" w:color="auto"/>
              <w:left w:val="single" w:sz="8" w:space="0" w:color="auto"/>
              <w:bottom w:val="single" w:sz="8" w:space="0" w:color="auto"/>
              <w:right w:val="single" w:sz="8" w:space="0" w:color="auto"/>
            </w:tcBorders>
            <w:shd w:val="clear" w:color="000000" w:fill="5B9BD5"/>
            <w:noWrap/>
            <w:vAlign w:val="center"/>
            <w:hideMark/>
          </w:tcPr>
          <w:p w14:paraId="45E0C191" w14:textId="77777777" w:rsidR="001C112C" w:rsidRPr="001C112C" w:rsidRDefault="001C112C" w:rsidP="001C112C">
            <w:pPr>
              <w:rPr>
                <w:rFonts w:ascii="Calibri" w:eastAsia="Times New Roman" w:hAnsi="Calibri" w:cs="Times New Roman"/>
                <w:b/>
                <w:bCs/>
                <w:color w:val="FFFFFF"/>
              </w:rPr>
            </w:pPr>
            <w:r w:rsidRPr="001C112C">
              <w:rPr>
                <w:rFonts w:ascii="Calibri" w:eastAsia="Times New Roman" w:hAnsi="Calibri" w:cs="Times New Roman"/>
                <w:b/>
                <w:bCs/>
                <w:color w:val="FFFFFF"/>
              </w:rPr>
              <w:t>GROUPING_OF_MONTHS</w:t>
            </w:r>
          </w:p>
        </w:tc>
        <w:tc>
          <w:tcPr>
            <w:tcW w:w="5740" w:type="dxa"/>
            <w:tcBorders>
              <w:top w:val="single" w:sz="8" w:space="0" w:color="auto"/>
              <w:left w:val="nil"/>
              <w:bottom w:val="single" w:sz="8" w:space="0" w:color="auto"/>
              <w:right w:val="single" w:sz="8" w:space="0" w:color="auto"/>
            </w:tcBorders>
            <w:shd w:val="clear" w:color="000000" w:fill="5B9BD5"/>
            <w:noWrap/>
            <w:vAlign w:val="center"/>
            <w:hideMark/>
          </w:tcPr>
          <w:p w14:paraId="5A6EAAD8" w14:textId="77777777" w:rsidR="001C112C" w:rsidRPr="001C112C" w:rsidRDefault="001C112C" w:rsidP="001C112C">
            <w:pPr>
              <w:rPr>
                <w:rFonts w:ascii="Calibri" w:eastAsia="Times New Roman" w:hAnsi="Calibri" w:cs="Times New Roman"/>
                <w:b/>
                <w:bCs/>
                <w:color w:val="FFFFFF"/>
              </w:rPr>
            </w:pPr>
            <w:r w:rsidRPr="001C112C">
              <w:rPr>
                <w:rFonts w:ascii="Calibri" w:eastAsia="Times New Roman" w:hAnsi="Calibri" w:cs="Times New Roman"/>
                <w:b/>
                <w:bCs/>
                <w:color w:val="FFFFFF"/>
              </w:rPr>
              <w:t>UNIQUE_PARENT_DEALER_CODE_MODEL_FAMILY_COMBOS</w:t>
            </w:r>
          </w:p>
        </w:tc>
      </w:tr>
      <w:tr w:rsidR="001C112C" w:rsidRPr="001C112C" w14:paraId="02B477A0" w14:textId="77777777" w:rsidTr="001C112C">
        <w:trPr>
          <w:trHeight w:val="300"/>
        </w:trPr>
        <w:tc>
          <w:tcPr>
            <w:tcW w:w="2440" w:type="dxa"/>
            <w:tcBorders>
              <w:top w:val="nil"/>
              <w:left w:val="single" w:sz="8" w:space="0" w:color="auto"/>
              <w:bottom w:val="single" w:sz="8" w:space="0" w:color="auto"/>
              <w:right w:val="single" w:sz="8" w:space="0" w:color="auto"/>
            </w:tcBorders>
            <w:shd w:val="clear" w:color="auto" w:fill="auto"/>
            <w:vAlign w:val="center"/>
            <w:hideMark/>
          </w:tcPr>
          <w:p w14:paraId="3ECD913F" w14:textId="77777777" w:rsidR="001C112C" w:rsidRPr="001C112C" w:rsidRDefault="001C112C" w:rsidP="001C112C">
            <w:pPr>
              <w:rPr>
                <w:rFonts w:ascii="Calibri" w:eastAsia="Times New Roman" w:hAnsi="Calibri" w:cs="Times New Roman"/>
                <w:color w:val="000000"/>
              </w:rPr>
            </w:pPr>
            <w:r w:rsidRPr="001C112C">
              <w:rPr>
                <w:rFonts w:ascii="Calibri" w:eastAsia="Times New Roman" w:hAnsi="Calibri" w:cs="Times New Roman"/>
                <w:color w:val="000000"/>
              </w:rPr>
              <w:t>&lt;12</w:t>
            </w:r>
          </w:p>
        </w:tc>
        <w:tc>
          <w:tcPr>
            <w:tcW w:w="5740" w:type="dxa"/>
            <w:tcBorders>
              <w:top w:val="nil"/>
              <w:left w:val="nil"/>
              <w:bottom w:val="single" w:sz="8" w:space="0" w:color="auto"/>
              <w:right w:val="single" w:sz="8" w:space="0" w:color="auto"/>
            </w:tcBorders>
            <w:shd w:val="clear" w:color="auto" w:fill="auto"/>
            <w:vAlign w:val="center"/>
            <w:hideMark/>
          </w:tcPr>
          <w:p w14:paraId="6F49F121" w14:textId="77777777" w:rsidR="001C112C" w:rsidRPr="001C112C" w:rsidRDefault="001C112C" w:rsidP="001C112C">
            <w:pPr>
              <w:jc w:val="right"/>
              <w:rPr>
                <w:rFonts w:ascii="Calibri" w:eastAsia="Times New Roman" w:hAnsi="Calibri" w:cs="Times New Roman"/>
                <w:color w:val="000000"/>
              </w:rPr>
            </w:pPr>
            <w:r w:rsidRPr="001C112C">
              <w:rPr>
                <w:rFonts w:ascii="Calibri" w:eastAsia="Times New Roman" w:hAnsi="Calibri" w:cs="Times New Roman"/>
                <w:color w:val="000000"/>
              </w:rPr>
              <w:t>15699</w:t>
            </w:r>
          </w:p>
        </w:tc>
      </w:tr>
      <w:tr w:rsidR="001C112C" w:rsidRPr="001C112C" w14:paraId="17E645DD" w14:textId="77777777" w:rsidTr="001C112C">
        <w:trPr>
          <w:trHeight w:val="300"/>
        </w:trPr>
        <w:tc>
          <w:tcPr>
            <w:tcW w:w="2440" w:type="dxa"/>
            <w:tcBorders>
              <w:top w:val="nil"/>
              <w:left w:val="single" w:sz="8" w:space="0" w:color="auto"/>
              <w:bottom w:val="single" w:sz="8" w:space="0" w:color="auto"/>
              <w:right w:val="single" w:sz="8" w:space="0" w:color="auto"/>
            </w:tcBorders>
            <w:shd w:val="clear" w:color="auto" w:fill="auto"/>
            <w:vAlign w:val="center"/>
            <w:hideMark/>
          </w:tcPr>
          <w:p w14:paraId="605DF9AF" w14:textId="77777777" w:rsidR="001C112C" w:rsidRPr="001C112C" w:rsidRDefault="001C112C" w:rsidP="001C112C">
            <w:pPr>
              <w:rPr>
                <w:rFonts w:ascii="Calibri" w:eastAsia="Times New Roman" w:hAnsi="Calibri" w:cs="Times New Roman"/>
                <w:color w:val="000000"/>
              </w:rPr>
            </w:pPr>
            <w:r w:rsidRPr="001C112C">
              <w:rPr>
                <w:rFonts w:ascii="Calibri" w:eastAsia="Times New Roman" w:hAnsi="Calibri" w:cs="Times New Roman"/>
                <w:color w:val="000000"/>
              </w:rPr>
              <w:t>&gt;=24</w:t>
            </w:r>
          </w:p>
        </w:tc>
        <w:tc>
          <w:tcPr>
            <w:tcW w:w="5740" w:type="dxa"/>
            <w:tcBorders>
              <w:top w:val="nil"/>
              <w:left w:val="nil"/>
              <w:bottom w:val="single" w:sz="8" w:space="0" w:color="auto"/>
              <w:right w:val="single" w:sz="8" w:space="0" w:color="auto"/>
            </w:tcBorders>
            <w:shd w:val="clear" w:color="auto" w:fill="auto"/>
            <w:vAlign w:val="center"/>
            <w:hideMark/>
          </w:tcPr>
          <w:p w14:paraId="10409023" w14:textId="77777777" w:rsidR="001C112C" w:rsidRPr="001C112C" w:rsidRDefault="001C112C" w:rsidP="001C112C">
            <w:pPr>
              <w:jc w:val="right"/>
              <w:rPr>
                <w:rFonts w:ascii="Calibri" w:eastAsia="Times New Roman" w:hAnsi="Calibri" w:cs="Times New Roman"/>
                <w:color w:val="000000"/>
              </w:rPr>
            </w:pPr>
            <w:r w:rsidRPr="001C112C">
              <w:rPr>
                <w:rFonts w:ascii="Calibri" w:eastAsia="Times New Roman" w:hAnsi="Calibri" w:cs="Times New Roman"/>
                <w:color w:val="000000"/>
              </w:rPr>
              <w:t>74383</w:t>
            </w:r>
          </w:p>
        </w:tc>
      </w:tr>
      <w:tr w:rsidR="001C112C" w:rsidRPr="001C112C" w14:paraId="2D6128A5" w14:textId="77777777" w:rsidTr="001C112C">
        <w:trPr>
          <w:trHeight w:val="300"/>
        </w:trPr>
        <w:tc>
          <w:tcPr>
            <w:tcW w:w="2440" w:type="dxa"/>
            <w:tcBorders>
              <w:top w:val="nil"/>
              <w:left w:val="single" w:sz="8" w:space="0" w:color="auto"/>
              <w:bottom w:val="single" w:sz="8" w:space="0" w:color="auto"/>
              <w:right w:val="single" w:sz="8" w:space="0" w:color="auto"/>
            </w:tcBorders>
            <w:shd w:val="clear" w:color="auto" w:fill="auto"/>
            <w:vAlign w:val="center"/>
            <w:hideMark/>
          </w:tcPr>
          <w:p w14:paraId="7812FD22" w14:textId="77777777" w:rsidR="001C112C" w:rsidRPr="001C112C" w:rsidRDefault="001C112C" w:rsidP="001C112C">
            <w:pPr>
              <w:rPr>
                <w:rFonts w:ascii="Calibri" w:eastAsia="Times New Roman" w:hAnsi="Calibri" w:cs="Times New Roman"/>
                <w:color w:val="000000"/>
              </w:rPr>
            </w:pPr>
            <w:r w:rsidRPr="001C112C">
              <w:rPr>
                <w:rFonts w:ascii="Calibri" w:eastAsia="Times New Roman" w:hAnsi="Calibri" w:cs="Times New Roman"/>
                <w:color w:val="000000"/>
              </w:rPr>
              <w:t>18 to 23</w:t>
            </w:r>
          </w:p>
        </w:tc>
        <w:tc>
          <w:tcPr>
            <w:tcW w:w="5740" w:type="dxa"/>
            <w:tcBorders>
              <w:top w:val="nil"/>
              <w:left w:val="nil"/>
              <w:bottom w:val="single" w:sz="8" w:space="0" w:color="auto"/>
              <w:right w:val="single" w:sz="8" w:space="0" w:color="auto"/>
            </w:tcBorders>
            <w:shd w:val="clear" w:color="auto" w:fill="auto"/>
            <w:vAlign w:val="center"/>
            <w:hideMark/>
          </w:tcPr>
          <w:p w14:paraId="0B85F6FE" w14:textId="77777777" w:rsidR="001C112C" w:rsidRPr="001C112C" w:rsidRDefault="001C112C" w:rsidP="001C112C">
            <w:pPr>
              <w:jc w:val="right"/>
              <w:rPr>
                <w:rFonts w:ascii="Calibri" w:eastAsia="Times New Roman" w:hAnsi="Calibri" w:cs="Times New Roman"/>
                <w:color w:val="000000"/>
              </w:rPr>
            </w:pPr>
            <w:r w:rsidRPr="001C112C">
              <w:rPr>
                <w:rFonts w:ascii="Calibri" w:eastAsia="Times New Roman" w:hAnsi="Calibri" w:cs="Times New Roman"/>
                <w:color w:val="000000"/>
              </w:rPr>
              <w:t>9505</w:t>
            </w:r>
          </w:p>
        </w:tc>
      </w:tr>
      <w:tr w:rsidR="001C112C" w:rsidRPr="001C112C" w14:paraId="1C1DB702" w14:textId="77777777" w:rsidTr="001C112C">
        <w:trPr>
          <w:trHeight w:val="300"/>
        </w:trPr>
        <w:tc>
          <w:tcPr>
            <w:tcW w:w="2440" w:type="dxa"/>
            <w:tcBorders>
              <w:top w:val="nil"/>
              <w:left w:val="single" w:sz="8" w:space="0" w:color="auto"/>
              <w:bottom w:val="single" w:sz="8" w:space="0" w:color="auto"/>
              <w:right w:val="single" w:sz="8" w:space="0" w:color="auto"/>
            </w:tcBorders>
            <w:shd w:val="clear" w:color="auto" w:fill="auto"/>
            <w:vAlign w:val="center"/>
            <w:hideMark/>
          </w:tcPr>
          <w:p w14:paraId="03610887" w14:textId="77777777" w:rsidR="001C112C" w:rsidRPr="001C112C" w:rsidRDefault="001C112C" w:rsidP="001C112C">
            <w:pPr>
              <w:rPr>
                <w:rFonts w:ascii="Calibri" w:eastAsia="Times New Roman" w:hAnsi="Calibri" w:cs="Times New Roman"/>
                <w:color w:val="000000"/>
              </w:rPr>
            </w:pPr>
            <w:r w:rsidRPr="001C112C">
              <w:rPr>
                <w:rFonts w:ascii="Calibri" w:eastAsia="Times New Roman" w:hAnsi="Calibri" w:cs="Times New Roman"/>
                <w:color w:val="000000"/>
              </w:rPr>
              <w:t>12 to 17</w:t>
            </w:r>
          </w:p>
        </w:tc>
        <w:tc>
          <w:tcPr>
            <w:tcW w:w="5740" w:type="dxa"/>
            <w:tcBorders>
              <w:top w:val="nil"/>
              <w:left w:val="nil"/>
              <w:bottom w:val="single" w:sz="8" w:space="0" w:color="auto"/>
              <w:right w:val="single" w:sz="8" w:space="0" w:color="auto"/>
            </w:tcBorders>
            <w:shd w:val="clear" w:color="auto" w:fill="auto"/>
            <w:vAlign w:val="center"/>
            <w:hideMark/>
          </w:tcPr>
          <w:p w14:paraId="3C90DA91" w14:textId="77777777" w:rsidR="001C112C" w:rsidRPr="001C112C" w:rsidRDefault="001C112C" w:rsidP="001C112C">
            <w:pPr>
              <w:jc w:val="right"/>
              <w:rPr>
                <w:rFonts w:ascii="Calibri" w:eastAsia="Times New Roman" w:hAnsi="Calibri" w:cs="Times New Roman"/>
                <w:color w:val="000000"/>
              </w:rPr>
            </w:pPr>
            <w:r w:rsidRPr="001C112C">
              <w:rPr>
                <w:rFonts w:ascii="Calibri" w:eastAsia="Times New Roman" w:hAnsi="Calibri" w:cs="Times New Roman"/>
                <w:color w:val="000000"/>
              </w:rPr>
              <w:t>9261</w:t>
            </w:r>
          </w:p>
        </w:tc>
      </w:tr>
    </w:tbl>
    <w:p w14:paraId="20013920" w14:textId="68D34B29" w:rsidR="001C112C" w:rsidRDefault="001C112C">
      <w:pPr>
        <w:spacing w:after="240"/>
      </w:pPr>
      <w:r>
        <w:tab/>
      </w:r>
      <w:r>
        <w:tab/>
      </w:r>
      <w:bookmarkStart w:id="0" w:name="_GoBack"/>
      <w:bookmarkEnd w:id="0"/>
    </w:p>
    <w:p w14:paraId="18C395F2" w14:textId="225C32EB" w:rsidR="001C112C" w:rsidRDefault="001C112C">
      <w:pPr>
        <w:spacing w:after="240"/>
      </w:pPr>
    </w:p>
    <w:p w14:paraId="461A1838" w14:textId="77777777" w:rsidR="001C112C" w:rsidRDefault="001C112C">
      <w:pPr>
        <w:spacing w:after="240"/>
      </w:pPr>
    </w:p>
    <w:p w14:paraId="6061367E" w14:textId="75714583" w:rsidR="001C112C" w:rsidRPr="001C112C" w:rsidRDefault="00F046FE" w:rsidP="001C112C">
      <w:pPr>
        <w:pBdr>
          <w:left w:val="single" w:sz="6" w:space="12" w:color="2E75B6"/>
        </w:pBdr>
        <w:spacing w:after="80"/>
        <w:ind w:left="360"/>
        <w:rPr>
          <w:iCs/>
          <w:color w:val="555555"/>
          <w:sz w:val="20"/>
          <w:szCs w:val="20"/>
        </w:rPr>
      </w:pPr>
      <w:r>
        <w:rPr>
          <w:i/>
          <w:iCs/>
          <w:color w:val="555555"/>
          <w:sz w:val="20"/>
          <w:szCs w:val="20"/>
        </w:rPr>
        <w:t xml:space="preserve">Note: </w:t>
      </w:r>
      <w:r w:rsidR="00F67A4C" w:rsidRPr="00F67A4C">
        <w:rPr>
          <w:i/>
          <w:iCs/>
          <w:color w:val="555555"/>
          <w:sz w:val="20"/>
          <w:szCs w:val="20"/>
        </w:rPr>
        <w:t>TFT has access to static dealer and product attributes that Snowflake ML Forecast does not natively support. Any performance improvement from TFT therefore reflects both the architectural advantage of TFT and the additional covariate information it can consume</w:t>
      </w:r>
      <w:r w:rsidR="001C112C">
        <w:rPr>
          <w:i/>
          <w:iCs/>
          <w:color w:val="555555"/>
          <w:sz w:val="20"/>
          <w:szCs w:val="20"/>
        </w:rPr>
        <w:t>.</w:t>
      </w:r>
      <w:r w:rsidR="001C112C">
        <w:rPr>
          <w:i/>
          <w:iCs/>
          <w:color w:val="555555"/>
          <w:sz w:val="20"/>
          <w:szCs w:val="20"/>
        </w:rPr>
        <w:tab/>
      </w:r>
      <w:r w:rsidR="001C112C">
        <w:rPr>
          <w:i/>
          <w:iCs/>
          <w:color w:val="555555"/>
          <w:sz w:val="20"/>
          <w:szCs w:val="20"/>
        </w:rPr>
        <w:tab/>
      </w:r>
      <w:r w:rsidR="001C112C">
        <w:rPr>
          <w:i/>
          <w:iCs/>
          <w:color w:val="555555"/>
          <w:sz w:val="20"/>
          <w:szCs w:val="20"/>
        </w:rPr>
        <w:tab/>
      </w:r>
      <w:r w:rsidR="001C112C">
        <w:rPr>
          <w:i/>
          <w:iCs/>
          <w:color w:val="555555"/>
          <w:sz w:val="20"/>
          <w:szCs w:val="20"/>
        </w:rPr>
        <w:tab/>
      </w:r>
      <w:r w:rsidR="001C112C">
        <w:rPr>
          <w:i/>
          <w:iCs/>
          <w:color w:val="555555"/>
          <w:sz w:val="20"/>
          <w:szCs w:val="20"/>
        </w:rPr>
        <w:tab/>
      </w:r>
    </w:p>
    <w:sectPr w:rsidR="001C112C" w:rsidRPr="001C112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46002EE"/>
    <w:multiLevelType w:val="hybridMultilevel"/>
    <w:tmpl w:val="20886748"/>
    <w:lvl w:ilvl="0" w:tplc="CAB4EF04">
      <w:start w:val="1"/>
      <w:numFmt w:val="bullet"/>
      <w:lvlText w:val="●"/>
      <w:lvlJc w:val="left"/>
      <w:pPr>
        <w:ind w:left="720" w:hanging="360"/>
      </w:pPr>
    </w:lvl>
    <w:lvl w:ilvl="1" w:tplc="3440D384">
      <w:start w:val="1"/>
      <w:numFmt w:val="bullet"/>
      <w:lvlText w:val="○"/>
      <w:lvlJc w:val="left"/>
      <w:pPr>
        <w:ind w:left="1440" w:hanging="360"/>
      </w:pPr>
    </w:lvl>
    <w:lvl w:ilvl="2" w:tplc="0F2A3D1C">
      <w:start w:val="1"/>
      <w:numFmt w:val="bullet"/>
      <w:lvlText w:val="■"/>
      <w:lvlJc w:val="left"/>
      <w:pPr>
        <w:ind w:left="2160" w:hanging="360"/>
      </w:pPr>
    </w:lvl>
    <w:lvl w:ilvl="3" w:tplc="C1D22F4C">
      <w:start w:val="1"/>
      <w:numFmt w:val="bullet"/>
      <w:lvlText w:val="●"/>
      <w:lvlJc w:val="left"/>
      <w:pPr>
        <w:ind w:left="2880" w:hanging="360"/>
      </w:pPr>
    </w:lvl>
    <w:lvl w:ilvl="4" w:tplc="F22C0680">
      <w:start w:val="1"/>
      <w:numFmt w:val="bullet"/>
      <w:lvlText w:val="○"/>
      <w:lvlJc w:val="left"/>
      <w:pPr>
        <w:ind w:left="3600" w:hanging="360"/>
      </w:pPr>
    </w:lvl>
    <w:lvl w:ilvl="5" w:tplc="C46C06D6">
      <w:start w:val="1"/>
      <w:numFmt w:val="bullet"/>
      <w:lvlText w:val="■"/>
      <w:lvlJc w:val="left"/>
      <w:pPr>
        <w:ind w:left="4320" w:hanging="360"/>
      </w:pPr>
    </w:lvl>
    <w:lvl w:ilvl="6" w:tplc="ADA62AA0">
      <w:start w:val="1"/>
      <w:numFmt w:val="bullet"/>
      <w:lvlText w:val="●"/>
      <w:lvlJc w:val="left"/>
      <w:pPr>
        <w:ind w:left="5040" w:hanging="360"/>
      </w:pPr>
    </w:lvl>
    <w:lvl w:ilvl="7" w:tplc="C83AF950">
      <w:start w:val="1"/>
      <w:numFmt w:val="bullet"/>
      <w:lvlText w:val="●"/>
      <w:lvlJc w:val="left"/>
      <w:pPr>
        <w:ind w:left="5760" w:hanging="360"/>
      </w:pPr>
    </w:lvl>
    <w:lvl w:ilvl="8" w:tplc="359AB5E8">
      <w:start w:val="1"/>
      <w:numFmt w:val="bullet"/>
      <w:lvlText w:val="●"/>
      <w:lvlJc w:val="left"/>
      <w:pPr>
        <w:ind w:left="6480" w:hanging="360"/>
      </w:pPr>
    </w:lvl>
  </w:abstractNum>
  <w:abstractNum w:abstractNumId="1" w15:restartNumberingAfterBreak="0">
    <w:nsid w:val="6DAC309D"/>
    <w:multiLevelType w:val="hybridMultilevel"/>
    <w:tmpl w:val="6D18A4B2"/>
    <w:lvl w:ilvl="0" w:tplc="B46041BE">
      <w:start w:val="1"/>
      <w:numFmt w:val="bullet"/>
      <w:lvlText w:val="•"/>
      <w:lvlJc w:val="left"/>
      <w:pPr>
        <w:ind w:left="720" w:hanging="360"/>
      </w:pPr>
    </w:lvl>
    <w:lvl w:ilvl="1" w:tplc="7B72312E">
      <w:numFmt w:val="decimal"/>
      <w:lvlText w:val=""/>
      <w:lvlJc w:val="left"/>
    </w:lvl>
    <w:lvl w:ilvl="2" w:tplc="106ED172">
      <w:numFmt w:val="decimal"/>
      <w:lvlText w:val=""/>
      <w:lvlJc w:val="left"/>
    </w:lvl>
    <w:lvl w:ilvl="3" w:tplc="B55C010A">
      <w:numFmt w:val="decimal"/>
      <w:lvlText w:val=""/>
      <w:lvlJc w:val="left"/>
    </w:lvl>
    <w:lvl w:ilvl="4" w:tplc="4CC21776">
      <w:numFmt w:val="decimal"/>
      <w:lvlText w:val=""/>
      <w:lvlJc w:val="left"/>
    </w:lvl>
    <w:lvl w:ilvl="5" w:tplc="53381CE8">
      <w:numFmt w:val="decimal"/>
      <w:lvlText w:val=""/>
      <w:lvlJc w:val="left"/>
    </w:lvl>
    <w:lvl w:ilvl="6" w:tplc="4DECC148">
      <w:numFmt w:val="decimal"/>
      <w:lvlText w:val=""/>
      <w:lvlJc w:val="left"/>
    </w:lvl>
    <w:lvl w:ilvl="7" w:tplc="7BDC41F4">
      <w:numFmt w:val="decimal"/>
      <w:lvlText w:val=""/>
      <w:lvlJc w:val="left"/>
    </w:lvl>
    <w:lvl w:ilvl="8" w:tplc="90101A8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513A"/>
    <w:rsid w:val="0006311A"/>
    <w:rsid w:val="001C112C"/>
    <w:rsid w:val="00D3513A"/>
    <w:rsid w:val="00F046FE"/>
    <w:rsid w:val="00F67A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5D045"/>
  <w15:docId w15:val="{1F6BA975-AD7D-4474-B432-52F7AD30D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spacing w:before="240" w:after="160"/>
      <w:outlineLvl w:val="0"/>
    </w:pPr>
    <w:rPr>
      <w:b/>
      <w:bCs/>
      <w:color w:val="1F3864"/>
      <w:sz w:val="36"/>
      <w:szCs w:val="36"/>
    </w:rPr>
  </w:style>
  <w:style w:type="paragraph" w:styleId="Heading2">
    <w:name w:val="heading 2"/>
    <w:uiPriority w:val="9"/>
    <w:unhideWhenUsed/>
    <w:qFormat/>
    <w:pPr>
      <w:spacing w:before="200" w:after="120"/>
      <w:outlineLvl w:val="1"/>
    </w:pPr>
    <w:rPr>
      <w:b/>
      <w:bCs/>
      <w:color w:val="2E549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950994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AD701F-AAC9-4B60-B8F6-9FDB7DE20F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549</Words>
  <Characters>3131</Characters>
  <Application>Microsoft Office Word</Application>
  <DocSecurity>0</DocSecurity>
  <Lines>26</Lines>
  <Paragraphs>7</Paragraphs>
  <ScaleCrop>false</ScaleCrop>
  <Company/>
  <LinksUpToDate>false</LinksUpToDate>
  <CharactersWithSpaces>3673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YASH SAXENA</cp:lastModifiedBy>
  <cp:revision>4</cp:revision>
  <dcterms:created xsi:type="dcterms:W3CDTF">2026-04-15T06:55:00Z</dcterms:created>
  <dcterms:modified xsi:type="dcterms:W3CDTF">2026-04-15T08:16:00Z</dcterms:modified>
</cp:coreProperties>
</file>