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30A7" w:rsidRPr="009430A7" w:rsidRDefault="009430A7" w:rsidP="009430A7">
      <w:pPr>
        <w:numPr>
          <w:ilvl w:val="0"/>
          <w:numId w:val="2"/>
        </w:numPr>
        <w:ind w:left="540"/>
        <w:textAlignment w:val="center"/>
        <w:rPr>
          <w:rFonts w:ascii="Calibri" w:eastAsia="Times New Roman" w:hAnsi="Calibri" w:cs="Calibri"/>
          <w:sz w:val="22"/>
          <w:szCs w:val="22"/>
        </w:rPr>
      </w:pPr>
      <w:r w:rsidRPr="009430A7">
        <w:rPr>
          <w:rFonts w:ascii="Calibri" w:eastAsia="Times New Roman" w:hAnsi="Calibri" w:cs="Calibri"/>
          <w:b/>
          <w:bCs/>
          <w:sz w:val="22"/>
          <w:szCs w:val="22"/>
        </w:rPr>
        <w:t xml:space="preserve">Top 10 series are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</w:rPr>
      </w:pPr>
      <w:r w:rsidRPr="009430A7">
        <w:rPr>
          <w:rFonts w:ascii="Consolas" w:eastAsia="Times New Roman" w:hAnsi="Consolas" w:cs="Calibri"/>
          <w:sz w:val="21"/>
          <w:szCs w:val="21"/>
        </w:rPr>
        <w:t xml:space="preserve">'10027_SPLENDOR+_DRUM&lt;&gt;SELF&lt;&gt;CAST&lt;&gt;BLACK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'11987_SPLENDOR+_DRUM&lt;&gt;SELF&lt;&gt;CAST&lt;&gt;BLACK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'10738_SPLENDOR+_DRUM&lt;&gt;SELF&lt;&gt;CAST&lt;&gt;BLACK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'10017_SPLENDOR+_DRUM&lt;&gt;SELF&lt;&gt;CAST&lt;&gt;BLACK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'10737_SPLENDOR+_DRUM&lt;&gt;SELF&lt;&gt;CAST&lt;&gt;BLACK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'10286_SPLENDOR+_DRUM&lt;&gt;SELF&lt;&gt;CAST&lt;&gt;BLACK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'11225_SPLENDOR+_DRUM&lt;&gt;SELF&lt;&gt;CAST&lt;&gt;BLACK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'11916_SPLENDOR+_DRUM&lt;&gt;SELF&lt;&gt;CAST&lt;&gt;BLACK AND ACCENT',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 xml:space="preserve">'10841_SPLENDOR+_DRUM&lt;&gt;SELF&lt;&gt;CAST&lt;&gt;BLACK RED PURPLE', </w:t>
      </w:r>
    </w:p>
    <w:p w:rsidR="009430A7" w:rsidRPr="009430A7" w:rsidRDefault="009430A7" w:rsidP="009430A7">
      <w:pPr>
        <w:numPr>
          <w:ilvl w:val="1"/>
          <w:numId w:val="3"/>
        </w:numPr>
        <w:ind w:left="1080"/>
        <w:textAlignment w:val="center"/>
        <w:rPr>
          <w:rFonts w:ascii="Consolas" w:eastAsia="Times New Roman" w:hAnsi="Consolas" w:cs="Calibri"/>
          <w:sz w:val="21"/>
          <w:szCs w:val="21"/>
          <w:lang w:val="en-US"/>
        </w:rPr>
      </w:pPr>
      <w:r w:rsidRPr="009430A7">
        <w:rPr>
          <w:rFonts w:ascii="Consolas" w:eastAsia="Times New Roman" w:hAnsi="Consolas" w:cs="Calibri"/>
          <w:sz w:val="21"/>
          <w:szCs w:val="21"/>
          <w:lang w:val="en-US"/>
        </w:rPr>
        <w:t>'11736_SPLENDOR+_DRUM&lt;&gt;SELF&lt;&gt;CAST&lt;&gt;BLACK RED PURPLE'</w:t>
      </w:r>
    </w:p>
    <w:p w:rsidR="009430A7" w:rsidRDefault="009430A7">
      <w:pPr>
        <w:pStyle w:val="Heading1"/>
      </w:pPr>
      <w:bookmarkStart w:id="0" w:name="_GoBack"/>
      <w:bookmarkEnd w:id="0"/>
    </w:p>
    <w:p w:rsidR="00AC049C" w:rsidRDefault="009430A7">
      <w:pPr>
        <w:pStyle w:val="Heading1"/>
      </w:pPr>
      <w:r>
        <w:t>TFT Model Development — Daily Task Tracker</w:t>
      </w:r>
    </w:p>
    <w:p w:rsidR="00AC049C" w:rsidRDefault="009430A7">
      <w:pPr>
        <w:spacing w:after="80"/>
      </w:pPr>
      <w:r>
        <w:rPr>
          <w:color w:val="444444"/>
        </w:rPr>
        <w:t>Date: 28 April 2026</w:t>
      </w:r>
    </w:p>
    <w:p w:rsidR="00AC049C" w:rsidRDefault="009430A7">
      <w:pPr>
        <w:spacing w:after="40"/>
      </w:pPr>
      <w:r>
        <w:rPr>
          <w:i/>
          <w:iCs/>
          <w:color w:val="333333"/>
        </w:rPr>
        <w:t>Objective: Train TFT on high-volume series, forecast Mar'26, and compare performance against Snowflake ML Forecast.</w:t>
      </w:r>
    </w:p>
    <w:p w:rsidR="00AC049C" w:rsidRDefault="009430A7">
      <w:pPr>
        <w:spacing w:after="240"/>
      </w:pPr>
      <w:r>
        <w:rPr>
          <w:b/>
          <w:bCs/>
          <w:color w:val="555555"/>
        </w:rPr>
        <w:t>Train: Apr'23 – Nov'25   |   Validation: Dec'25 – Feb'26   |   Test: Mar'26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8760"/>
      </w:tblGrid>
      <w:tr w:rsidR="00AC049C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1 — Series Filtering (Top 80% Revenue)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Compute total revenue per series for FY1 (Apr'23 – Mar'24)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Identify top 80% revenue-contributing series for FY1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Compute total revenue per series for FY2 (Apr'24 – Mar'25)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Identify top 80% revenue-contributing series for FY2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Compute total revenue per series for FY3 — use only Apr'25 – Sep'25 to avoid GST distortion</w:t>
            </w:r>
          </w:p>
          <w:p w:rsidR="00AC049C" w:rsidRDefault="009430A7">
            <w:r>
              <w:rPr>
                <w:i/>
                <w:iCs/>
                <w:color w:val="888888"/>
                <w:sz w:val="17"/>
                <w:szCs w:val="17"/>
              </w:rPr>
              <w:t>Exclude Oct'25 onwards from FY3 revenue calculation due to GST-driven demand spike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Identify top 80% revenue-contributing series for FY3 (pre-GST window)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Take intersection: keep only series qualifying in all 3 fiscal years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Validate filtered series for data density — flag any series with high zero/missing months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2 — Data Preparation &amp; Feature Engineering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Extract filtered series from MOP_DATABASE.SOQ.TRAIN_AND_TEST_DATA_FOR_TFT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Define train/validation/test split: Train Apr'23–Nov'25 | Val Dec'25–Feb'26 | Test Mar'26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Add GST binary step indicator as future covariate: 0 before Oct'25, 1 from Oct'25 onwards</w:t>
            </w:r>
          </w:p>
          <w:p w:rsidR="00AC049C" w:rsidRDefault="009430A7">
            <w:r>
              <w:rPr>
                <w:i/>
                <w:iCs/>
                <w:color w:val="888888"/>
                <w:sz w:val="17"/>
                <w:szCs w:val="17"/>
              </w:rPr>
              <w:t>This is a future covariate — values are known for all forecast dates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Add GST rate as continuous future covariate: 0.28 before Oct'25, 0.18 from Oct'25 onwards</w:t>
            </w:r>
          </w:p>
          <w:p w:rsidR="00AC049C" w:rsidRDefault="009430A7">
            <w:r>
              <w:rPr>
                <w:i/>
                <w:iCs/>
                <w:color w:val="888888"/>
                <w:sz w:val="17"/>
                <w:szCs w:val="17"/>
              </w:rPr>
              <w:t>Opti</w:t>
            </w:r>
            <w:r>
              <w:rPr>
                <w:i/>
                <w:iCs/>
                <w:color w:val="888888"/>
                <w:sz w:val="17"/>
                <w:szCs w:val="17"/>
              </w:rPr>
              <w:t>onal but semantically richer than the binary flag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Retain existing future covariates: Cyclic Month, Relative Position, Year, Days in Month, Holiday indicators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Retain existing static covariates: geographic metadata, bike specs, dealer IDs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Verify covariate coverage extends through the full forecast horizon (Mar'26)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75B6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3 — Model Training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Configure Darts TFT with architecture from overfitting test (hidden size, LSTM layers, attention heads)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lastRenderedPageBreak/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Set learning rate to ~0.0003 (validated in overfitting test with holiday covariates)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 xml:space="preserve">Enable </w:t>
            </w:r>
            <w:proofErr w:type="spellStart"/>
            <w:r>
              <w:t>AdamW</w:t>
            </w:r>
            <w:proofErr w:type="spellEnd"/>
            <w:r>
              <w:t xml:space="preserve"> optimizer and Early Stopping (as validated in overfitting test)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Train model on filtered series with all covariates including GST indicator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 xml:space="preserve">Monitor </w:t>
            </w:r>
            <w:proofErr w:type="spellStart"/>
            <w:r>
              <w:t>tr</w:t>
            </w:r>
            <w:r>
              <w:t>ain_loss</w:t>
            </w:r>
            <w:proofErr w:type="spellEnd"/>
            <w:r>
              <w:t xml:space="preserve"> and </w:t>
            </w:r>
            <w:proofErr w:type="spellStart"/>
            <w:r>
              <w:t>val_loss</w:t>
            </w:r>
            <w:proofErr w:type="spellEnd"/>
            <w:r>
              <w:t xml:space="preserve"> — ensure both decrease together; watch for widening gap (overfitting signal)</w:t>
            </w:r>
          </w:p>
          <w:p w:rsidR="00AC049C" w:rsidRDefault="009430A7">
            <w:r>
              <w:rPr>
                <w:i/>
                <w:iCs/>
                <w:color w:val="888888"/>
                <w:sz w:val="17"/>
                <w:szCs w:val="17"/>
              </w:rPr>
              <w:t>Val loss may be elevated due to anomalous Dec'25–Feb'26 window — interpret with care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 xml:space="preserve">Save best checkpoint (lowest </w:t>
            </w:r>
            <w:proofErr w:type="spellStart"/>
            <w:r>
              <w:t>val_loss</w:t>
            </w:r>
            <w:proofErr w:type="spellEnd"/>
            <w:r>
              <w:t xml:space="preserve"> epoch)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1F4E79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4 — Forecasting &amp; Evaluation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Generate forecast for Mar'26 using the best saved checkpoint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Pull actuals for Mar'26 from source table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Compute forecast accuracy metrics vs Mar'26 actuals (e.g. MAPE, WAPE, RMSE per series)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Pull Snowflake ML Forecast predictions for the same series for Mar'26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Compare TFT forecast vs Snowflake ML Forecast on the same accuracy metrics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Identify series where TFT outperforms Snowflake and vice versa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Document findings and summarise overall accuracy improvement / delta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9360" w:type="dxa"/>
            <w:gridSpan w:val="2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375623"/>
            <w:tcMar>
              <w:top w:w="80" w:type="dxa"/>
              <w:left w:w="140" w:type="dxa"/>
              <w:bottom w:w="80" w:type="dxa"/>
              <w:right w:w="140" w:type="dxa"/>
            </w:tcMar>
          </w:tcPr>
          <w:p w:rsidR="00AC049C" w:rsidRDefault="009430A7">
            <w:r>
              <w:rPr>
                <w:b/>
                <w:bCs/>
                <w:color w:val="FFFFFF"/>
                <w:sz w:val="22"/>
                <w:szCs w:val="22"/>
              </w:rPr>
              <w:t>Phase 5 — Results Packaging for Manager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 xml:space="preserve">Prepare summary table: series count, train period, </w:t>
            </w:r>
            <w:proofErr w:type="spellStart"/>
            <w:r>
              <w:t>val</w:t>
            </w:r>
            <w:proofErr w:type="spellEnd"/>
            <w:r>
              <w:t xml:space="preserve"> period, test period, GST covariate used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Prepare metric comparison table: TFT vs Snowflake — MAPE / WAPE / RMSE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 xml:space="preserve">Add </w:t>
            </w:r>
            <w:proofErr w:type="spellStart"/>
            <w:r>
              <w:t>train_loss</w:t>
            </w:r>
            <w:proofErr w:type="spellEnd"/>
            <w:r>
              <w:t xml:space="preserve"> and </w:t>
            </w:r>
            <w:proofErr w:type="spellStart"/>
            <w:r>
              <w:t>val_loss</w:t>
            </w:r>
            <w:proofErr w:type="spellEnd"/>
            <w:r>
              <w:t xml:space="preserve"> curve chart to results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 xml:space="preserve">Note anomaly context: GST impact on Oct'25 onwards, effect on </w:t>
            </w:r>
            <w:proofErr w:type="spellStart"/>
            <w:r>
              <w:t>val</w:t>
            </w:r>
            <w:proofErr w:type="spellEnd"/>
            <w:r>
              <w:t xml:space="preserve"> and test interpretation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Document next steps: marketing data</w:t>
            </w:r>
            <w:r>
              <w:t xml:space="preserve"> integration, industry volume data (</w:t>
            </w:r>
            <w:proofErr w:type="spellStart"/>
            <w:r>
              <w:t>Vahan</w:t>
            </w:r>
            <w:proofErr w:type="spellEnd"/>
            <w:r>
              <w:t xml:space="preserve"> portal)</w:t>
            </w:r>
          </w:p>
        </w:tc>
      </w:tr>
      <w:tr w:rsidR="00AC049C">
        <w:tblPrEx>
          <w:tblCellMar>
            <w:top w:w="0" w:type="dxa"/>
            <w:bottom w:w="0" w:type="dxa"/>
          </w:tblCellMar>
        </w:tblPrEx>
        <w:tc>
          <w:tcPr>
            <w:tcW w:w="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:rsidR="00AC049C" w:rsidRDefault="009430A7">
            <w:pPr>
              <w:jc w:val="center"/>
            </w:pPr>
            <w:r>
              <w:rPr>
                <w:sz w:val="22"/>
                <w:szCs w:val="22"/>
              </w:rPr>
              <w:t>☐</w:t>
            </w:r>
          </w:p>
        </w:tc>
        <w:tc>
          <w:tcPr>
            <w:tcW w:w="87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</w:tcPr>
          <w:p w:rsidR="00AC049C" w:rsidRDefault="009430A7">
            <w:r>
              <w:t>Share results with manager</w:t>
            </w:r>
          </w:p>
        </w:tc>
      </w:tr>
    </w:tbl>
    <w:p w:rsidR="00AC049C" w:rsidRDefault="009430A7">
      <w:pPr>
        <w:spacing w:before="320"/>
      </w:pPr>
      <w:r>
        <w:rPr>
          <w:b/>
          <w:bCs/>
          <w:color w:val="1F4E79"/>
          <w:sz w:val="22"/>
          <w:szCs w:val="22"/>
        </w:rPr>
        <w:t>Notes</w:t>
      </w:r>
    </w:p>
    <w:p w:rsidR="00AC049C" w:rsidRDefault="009430A7">
      <w:pPr>
        <w:spacing w:before="80" w:after="40"/>
      </w:pPr>
      <w:r>
        <w:rPr>
          <w:color w:val="555555"/>
          <w:sz w:val="18"/>
          <w:szCs w:val="18"/>
        </w:rPr>
        <w:t xml:space="preserve">• GST reduced from 28% to 18% from Oct'25 — validation (Dec'25–Feb'26) and test (Mar'26) data are in the anomalous window. Interpret </w:t>
      </w:r>
      <w:proofErr w:type="spellStart"/>
      <w:r>
        <w:rPr>
          <w:color w:val="555555"/>
          <w:sz w:val="18"/>
          <w:szCs w:val="18"/>
        </w:rPr>
        <w:t>val_loss</w:t>
      </w:r>
      <w:proofErr w:type="spellEnd"/>
      <w:r>
        <w:rPr>
          <w:color w:val="555555"/>
          <w:sz w:val="18"/>
          <w:szCs w:val="18"/>
        </w:rPr>
        <w:t xml:space="preserve"> with this context in mind.</w:t>
      </w:r>
    </w:p>
    <w:p w:rsidR="00AC049C" w:rsidRDefault="009430A7">
      <w:pPr>
        <w:spacing w:before="40" w:after="40"/>
      </w:pPr>
      <w:r>
        <w:rPr>
          <w:color w:val="555555"/>
          <w:sz w:val="18"/>
          <w:szCs w:val="18"/>
        </w:rPr>
        <w:t xml:space="preserve">• Marketing data and </w:t>
      </w:r>
      <w:proofErr w:type="spellStart"/>
      <w:r>
        <w:rPr>
          <w:color w:val="555555"/>
          <w:sz w:val="18"/>
          <w:szCs w:val="18"/>
        </w:rPr>
        <w:t>Vahan</w:t>
      </w:r>
      <w:proofErr w:type="spellEnd"/>
      <w:r>
        <w:rPr>
          <w:color w:val="555555"/>
          <w:sz w:val="18"/>
          <w:szCs w:val="18"/>
        </w:rPr>
        <w:t xml:space="preserve"> industry volume data are deferred to post model training.</w:t>
      </w:r>
    </w:p>
    <w:p w:rsidR="00AC049C" w:rsidRDefault="009430A7">
      <w:pPr>
        <w:spacing w:before="40"/>
      </w:pPr>
      <w:r>
        <w:rPr>
          <w:color w:val="555555"/>
          <w:sz w:val="18"/>
          <w:szCs w:val="18"/>
        </w:rPr>
        <w:t>• FY3 revenue filter uses Apr'25–Sep'25 only to avoid GST-inflated rankings distorting series selection.</w:t>
      </w:r>
    </w:p>
    <w:sectPr w:rsidR="00AC049C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AF14EB9"/>
    <w:multiLevelType w:val="multilevel"/>
    <w:tmpl w:val="B6D47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6D552303"/>
    <w:multiLevelType w:val="hybridMultilevel"/>
    <w:tmpl w:val="BD04D75C"/>
    <w:lvl w:ilvl="0" w:tplc="702EF96E">
      <w:start w:val="1"/>
      <w:numFmt w:val="bullet"/>
      <w:lvlText w:val="●"/>
      <w:lvlJc w:val="left"/>
      <w:pPr>
        <w:ind w:left="720" w:hanging="360"/>
      </w:pPr>
    </w:lvl>
    <w:lvl w:ilvl="1" w:tplc="AD72770A">
      <w:start w:val="1"/>
      <w:numFmt w:val="bullet"/>
      <w:lvlText w:val="○"/>
      <w:lvlJc w:val="left"/>
      <w:pPr>
        <w:ind w:left="1440" w:hanging="360"/>
      </w:pPr>
    </w:lvl>
    <w:lvl w:ilvl="2" w:tplc="40406476">
      <w:start w:val="1"/>
      <w:numFmt w:val="bullet"/>
      <w:lvlText w:val="■"/>
      <w:lvlJc w:val="left"/>
      <w:pPr>
        <w:ind w:left="2160" w:hanging="360"/>
      </w:pPr>
    </w:lvl>
    <w:lvl w:ilvl="3" w:tplc="8D321CDA">
      <w:start w:val="1"/>
      <w:numFmt w:val="bullet"/>
      <w:lvlText w:val="●"/>
      <w:lvlJc w:val="left"/>
      <w:pPr>
        <w:ind w:left="2880" w:hanging="360"/>
      </w:pPr>
    </w:lvl>
    <w:lvl w:ilvl="4" w:tplc="57163CF6">
      <w:start w:val="1"/>
      <w:numFmt w:val="bullet"/>
      <w:lvlText w:val="○"/>
      <w:lvlJc w:val="left"/>
      <w:pPr>
        <w:ind w:left="3600" w:hanging="360"/>
      </w:pPr>
    </w:lvl>
    <w:lvl w:ilvl="5" w:tplc="2BD03ED8">
      <w:start w:val="1"/>
      <w:numFmt w:val="bullet"/>
      <w:lvlText w:val="■"/>
      <w:lvlJc w:val="left"/>
      <w:pPr>
        <w:ind w:left="4320" w:hanging="360"/>
      </w:pPr>
    </w:lvl>
    <w:lvl w:ilvl="6" w:tplc="4D6A7336">
      <w:start w:val="1"/>
      <w:numFmt w:val="bullet"/>
      <w:lvlText w:val="●"/>
      <w:lvlJc w:val="left"/>
      <w:pPr>
        <w:ind w:left="5040" w:hanging="360"/>
      </w:pPr>
    </w:lvl>
    <w:lvl w:ilvl="7" w:tplc="75BC48BC">
      <w:start w:val="1"/>
      <w:numFmt w:val="bullet"/>
      <w:lvlText w:val="●"/>
      <w:lvlJc w:val="left"/>
      <w:pPr>
        <w:ind w:left="5760" w:hanging="360"/>
      </w:pPr>
    </w:lvl>
    <w:lvl w:ilvl="8" w:tplc="A14A00A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  <w:num w:numId="3">
    <w:abstractNumId w:val="0"/>
    <w:lvlOverride w:ilvl="1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049C"/>
    <w:rsid w:val="009430A7"/>
    <w:rsid w:val="00AC04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BC562A"/>
  <w15:docId w15:val="{D4BFFCD1-1083-4E40-B487-E03650F791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IN" w:eastAsia="en-I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200" w:after="120"/>
      <w:outlineLvl w:val="0"/>
    </w:pPr>
    <w:rPr>
      <w:b/>
      <w:bCs/>
      <w:color w:val="1F4E79"/>
      <w:sz w:val="36"/>
      <w:szCs w:val="36"/>
    </w:rPr>
  </w:style>
  <w:style w:type="paragraph" w:styleId="Heading2">
    <w:name w:val="heading 2"/>
    <w:qFormat/>
    <w:pPr>
      <w:spacing w:before="160" w:after="80"/>
      <w:outlineLvl w:val="1"/>
    </w:pPr>
    <w:rPr>
      <w:b/>
      <w:bCs/>
      <w:color w:val="2E75B6"/>
      <w:sz w:val="24"/>
      <w:szCs w:val="24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9558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1264</TotalTime>
  <Pages>2</Pages>
  <Words>643</Words>
  <Characters>3671</Characters>
  <Application>Microsoft Office Word</Application>
  <DocSecurity>0</DocSecurity>
  <Lines>30</Lines>
  <Paragraphs>8</Paragraphs>
  <ScaleCrop>false</ScaleCrop>
  <Company/>
  <LinksUpToDate>false</LinksUpToDate>
  <CharactersWithSpaces>4306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YASH SAXENA</cp:lastModifiedBy>
  <cp:revision>2</cp:revision>
  <dcterms:created xsi:type="dcterms:W3CDTF">2026-04-28T05:50:00Z</dcterms:created>
  <dcterms:modified xsi:type="dcterms:W3CDTF">2026-04-29T08:25:00Z</dcterms:modified>
</cp:coreProperties>
</file>