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TFT Model — Progress Report</w:t>
      </w:r>
    </w:p>
    <w:p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 xml:space="preserve">Temporal Fusion Transformer — Monthly Sales Forecasting</w:t>
      </w:r>
    </w:p>
    <w:p>
      <w:pPr>
        <w:spacing w:after="300"/>
      </w:pPr>
      <w:r>
        <w:t xml:space="preserve">This report documents the iterative development of a Temporal Fusion Transformer (TFT) sales-forecasting model — from initial feature engineering through loss-function comparisons, backtesting, and a known limitation currently being addressed.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Iteration 1 — Predicting for 3 Months</w:t>
      </w:r>
    </w:p>
    <w:p>
      <w:pPr>
        <w:spacing w:after="120"/>
      </w:pPr>
      <w:r>
        <w:t xml:space="preserve">Three configurations were tested for a 3-month forecast horizon (June–August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Iteration Kind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Predicted Sales</w:t>
            </w:r>
          </w:p>
        </w:tc>
      </w:tr>
      <w:tr>
        <w:tc>
          <w:tcPr>
            <w:tcW w:type="dxa" w:w="33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feature engineering. Original Covariates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Jun-26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2,79,581</w:t>
            </w:r>
          </w:p>
        </w:tc>
      </w:tr>
      <w:tr>
        <w:tc>
          <w:tcPr>
            <w:tcW w:type="dxa" w:w="336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Jul-26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55,206</w:t>
            </w:r>
          </w:p>
        </w:tc>
      </w:tr>
      <w:tr>
        <w:tc>
          <w:tcPr>
            <w:tcW w:type="dxa" w:w="336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Aug-26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53,696</w:t>
            </w:r>
          </w:p>
        </w:tc>
      </w:tr>
      <w:tr>
        <w:tc>
          <w:tcPr>
            <w:tcW w:type="dxa" w:w="33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feature engineering. Swapped Covariates with previous year (i.e., 2025) covariates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Jun-26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3,93,843</w:t>
            </w:r>
          </w:p>
        </w:tc>
      </w:tr>
      <w:tr>
        <w:tc>
          <w:tcPr>
            <w:tcW w:type="dxa" w:w="336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Jul-26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3,43,243</w:t>
            </w:r>
          </w:p>
        </w:tc>
      </w:tr>
      <w:tr>
        <w:tc>
          <w:tcPr>
            <w:tcW w:type="dxa" w:w="336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Aug-26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3,49,957</w:t>
            </w:r>
          </w:p>
        </w:tc>
      </w:tr>
      <w:tr>
        <w:tc>
          <w:tcPr>
            <w:tcW w:type="dxa" w:w="336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Feature engineering applied (see Feature Engineering Strategy below)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Jun-26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2,97,713</w:t>
            </w:r>
          </w:p>
        </w:tc>
      </w:tr>
      <w:tr>
        <w:tc>
          <w:tcPr>
            <w:tcW w:type="dxa" w:w="336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Jul-26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2,69,899</w:t>
            </w:r>
          </w:p>
        </w:tc>
      </w:tr>
      <w:tr>
        <w:tc>
          <w:tcPr>
            <w:tcW w:type="dxa" w:w="3360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Aug-26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2,76,194</w:t>
            </w:r>
          </w:p>
        </w:tc>
      </w:tr>
    </w:tbl>
    <w:p>
      <w:pPr>
        <w:pStyle w:val="Heading2"/>
      </w:pPr>
      <w:r>
        <w:t xml:space="preserve">Feature Engineering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PITRU_PAKSH and PITRAPAKSHA_DAYS were identical columns — PITRAPAKSHA_DAYS was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TOTAL_DAYS_FESTIVE_PHASE_I, TOTAL_DAYS_FESTIVE_PHASE_II, TOTAL_DAYS_FESTIVE_PHASE_III, and TOTAL_DAYS_PITRU_PAKSH — these were either 0 or constant across all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PROP_EVENT_PITRU_PAKSH, PROP_EVENT_FESTIVE_PHASE_I, PROP_EVENT_FESTIVE_PHASE_II, PROP_EVENT_FESTIVE_PHASE_III, and NUM_FESTIVE_DAYS_MONTH.</w:t>
      </w:r>
    </w:p>
    <w:p>
      <w:pPr>
        <w:spacing w:after="120"/>
      </w:pPr>
      <w:r>
        <w:t xml:space="preserve">Collapsed 29 individual festival-day columns into a single </w:t>
      </w:r>
      <w:r>
        <w:rPr>
          <w:b/>
          <w:bCs/>
        </w:rPr>
        <w:t xml:space="preserve">TOTAL_FESTIVAL_DAYS</w:t>
      </w:r>
      <w:r>
        <w:t xml:space="preserve"> feature: Dussehra (Vijayadashami), Akshaya Tritiya, Bhai Dooj, Buddha Purnima, Chhath Puja, Dhanteras, Diwali, Eid-ul-Fitr, Ganesh Chaturthi, Ganga Dussehra, Govardhan Pooja, Guru Purnima, Hanuman Jayanti, Hartalik Teej, Holi, Holika Dahan, Jagannath Rathyatra, Janmashtami, Karwa Chauth, Lohri, Maha Shivaratri, Makar Sankranti/Pongal, Nag Panchami, Navratri, New Year, Onam, Raksha Bandhan, Republic Day, Vasant Panchami, and Vishwakarma Puja.</w:t>
      </w:r>
    </w:p>
    <w:p>
      <w:pPr>
        <w:spacing w:after="120"/>
      </w:pPr>
      <w:r>
        <w:t xml:space="preserve">Created </w:t>
      </w:r>
      <w:r>
        <w:rPr>
          <w:b/>
          <w:bCs/>
        </w:rPr>
        <w:t xml:space="preserve">LAST_YEAR_CONTRIBUTION</w:t>
      </w:r>
      <w:r>
        <w:t xml:space="preserve">: for a given month, this is that month's contribution to its own fiscal year — e.g., for April 2023 it is (April 2022 sales ÷ FY'23 total sales).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Iteration 2 — 6-Month Horizon, Engineered Features</w:t>
      </w:r>
    </w:p>
    <w:p>
      <w:pPr>
        <w:spacing w:after="120"/>
      </w:pPr>
      <w:r>
        <w:t xml:space="preserve">Loss function: MSE. Learning rate selected via the Darts LR Finder.</w:t>
      </w:r>
    </w:p>
    <w:p>
      <w:pPr>
        <w:pStyle w:val="Heading2"/>
      </w:pPr>
      <w:r>
        <w:t xml:space="preserve">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batch_size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dropout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likelihood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loss_fn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torch.nn.MSELoss()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n_epochs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random_state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gradient_clip_val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Callbacks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LossLogger, EarlyStopping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Training log: MSE loss, train/val loss per epoch, Iteration 2" descr="Training log: MSE loss, train/val loss per epoch, Iteration 2" title="Training log: MSE loss, train/val loss per epoch, Iter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Training log — MSE loss (Iteration 2)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Validation loss improves only marginally after the first few epochs (0.0646 → 0.062) before early stopping triggers at epoch 22. The model converges very quickly and then plateaus, which can indicate the model is reaching the limit of what these features/configuration can explain rather than continuing to learn.</w:t>
      </w:r>
    </w:p>
    <w:p>
      <w:pPr>
        <w:spacing w:after="120"/>
      </w:pPr>
      <w: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Predicted Sales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386790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350689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August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335238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September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316078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October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635328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November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596278</w:t>
            </w:r>
          </w:p>
        </w:tc>
      </w:tr>
    </w:tbl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Iteration 3 — 6-Month Horizon, Modified Configuration</w:t>
      </w:r>
    </w:p>
    <w:p>
      <w:pPr>
        <w:spacing w:after="120"/>
      </w:pPr>
      <w:r>
        <w:t xml:space="preserve">Output: mean prediction from Quantile loss.</w:t>
      </w:r>
    </w:p>
    <w:p>
      <w:pPr>
        <w:pStyle w:val="Heading2"/>
      </w:pPr>
      <w:r>
        <w:t xml:space="preserve">Configuration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Train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Apr'23 – May'25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Val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Jun'24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Lookback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Feb'25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Lookahead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Jun'26 – Nov'26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100 → 200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Patience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 → 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 → 16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 function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Quantile loss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 used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Mean prediction from Quantile loss</w:t>
            </w:r>
          </w:p>
        </w:tc>
      </w:tr>
    </w:tbl>
    <w:p>
      <w:pPr>
        <w:spacing w:after="120"/>
      </w:pPr>
      <w: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TFT Predicted Monthly Sales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4,16,260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3,35,549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August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2,94,278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September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2,64,782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October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12,34,499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November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8,52,511</w:t>
            </w:r>
          </w:p>
        </w:tc>
      </w:tr>
    </w:tbl>
    <w:p>
      <w:pPr>
        <w:spacing w:after="120"/>
      </w:pPr>
      <w:r>
        <w:t xml:space="preserve">Deviation from the last-4-year average sales and from last year's sales, using the mean prediction from Quantile loss, is shown below.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Deviation from last 4 year average, mean prediction quantile loss" descr="Deviation from last 4 year average, mean prediction quantile loss" title="Deviation from last 4 year average, mean prediction quantile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Deviation from last 4-year average sales — Mean prediction, Quantile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The model undershoots the 4-year average through the middle of the horizon — June is close to flat (+2.1%) but July through September drift to as low as -13.8% (August). It then overshoots sharply into October (+19.6%) and November (+25.7%). The forecast is not uniformly biased high or low; it swings by roughly 40 percentage points from August to November alone.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Deviation from last year sales, mean prediction quantile loss" descr="Deviation from last year sales, mean prediction quantile loss" title="Deviation from last year sales, mean prediction quantile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Deviation from last year's sales — Mean prediction, Quantile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Against last year's actuals specifically, September is understated by -26.0% while November is overstated by +107.2% — more than double last year's figure. A same-horizon swing of this size between two adjacent months suggests the festive-period features are not yet being weighted consistently across the back half of the forecast window.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Iteration 4 — 6-Month Horizon, Modified Configuration</w:t>
      </w:r>
    </w:p>
    <w:p>
      <w:pPr>
        <w:spacing w:after="120"/>
      </w:pPr>
      <w:r>
        <w:t xml:space="preserve">Output: percentiles (P10 / P50 / P90) from Quantile loss.</w:t>
      </w:r>
    </w:p>
    <w:p>
      <w:pPr>
        <w:pStyle w:val="Heading2"/>
      </w:pPr>
      <w:r>
        <w:t xml:space="preserve">Configuration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Train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Apr'23 – May'25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Val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Jun'24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Lookback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Feb'25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Lookahead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Jun'26 – Nov'26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100 → 200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Patience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 → 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 → 16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 function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Quantile loss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 used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Percentiles from Quantile loss</w:t>
            </w:r>
          </w:p>
        </w:tc>
      </w:tr>
    </w:tbl>
    <w:p>
      <w:pPr>
        <w:spacing w:after="120"/>
      </w:pPr>
      <w: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1,31,205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3,50,816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7,87,673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1,02,561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2,87,514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6,36,908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August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82,101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2,47,342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5,71,676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September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79,907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2,15,034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5,15,230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October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5,38,560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13,03,353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18,32,654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November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2,09,857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7,24,979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16,46,160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P50 quantile deviation from last 4 year average sales" descr="P50 quantile deviation from last 4 year average sales" title="P50 quantile deviation from last 4 year averag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P50 deviation from last 4-year average sales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The median (P50) forecast undershoots the 4-year average for four of six months — as low as -27.6% in September — before jumping to +26.2% in October. This is the same undershoot-then-overshoot shape seen in Iteration 3's mean prediction, which indicates the pattern is structural to the model/feature setup rather than an artifact of using the mean vs. the median.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P10 quantile deviation from last 4 year average sales" descr="P10 quantile deviation from last 4 year average sales" title="P10 quantile deviation from last 4 year averag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P10 deviation from last 4-year average sales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The P10 (lower bound) sits 68–76% below the 4-year average in every single month, including October and November where the median itself is running above average. A lower bound this far below history in every month — even the months the median overshoots — points to the quantile spread being too wide to be useful as a planning range without recalibration.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P90 quantile deviation from last 4 year average sales" descr="P90 quantile deviation from last 4 year average sales" title="P90 quantile deviation from last 4 year average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P90 deviation from last 4-year average sales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The P90 (upper bound) mirrors the P10 pattern: +68% to +143% above the 4-year average in every month, including the months the median undershoots. Taken together, the P10–P90 band spans roughly -76% to +143% even in a comparatively unremarkable month like August — too wide to support confident month-level decisions in its current form.</w:t>
      </w:r>
    </w:p>
    <w:p>
      <w:pPr>
        <w:spacing w:before="120"/>
        <w:jc w:val="center"/>
      </w:pPr>
      <w:r>
        <w:drawing>
          <wp:inline distT="0" distB="0" distL="0" distR="0">
            <wp:extent cx="4572000" cy="847725"/>
            <wp:effectExtent t="0" r="0" b="0" l="0"/>
            <wp:docPr id="1" name="Training log: Quantile loss, train/val loss per epoch" descr="Training log: Quantile loss, train/val loss per epoch" title="Training log: Quantile loss, train/val loss per 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Train and validation loss — Quantile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Validation loss improves only from 0.301 to 0.295 (≈2%) between epoch 1 and the epoch-26 stopping point — a very small improvement for 26 epochs of training, and consistent with the early-plateau pattern also seen in Iteration 2's MSE run.</w:t>
      </w:r>
    </w:p>
    <w:p>
      <w:pPr>
        <w:pStyle w:val="Heading2"/>
      </w:pPr>
      <w:r>
        <w:t xml:space="preserve">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batch_size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dropout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likelihood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QuantileRegression(quantiles=[0.1, 0.5, 0.9])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loss_fn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n_epochs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random_state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gradient_clip_val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Callbacks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LossLogger, EarlyStopping</w:t>
            </w:r>
          </w:p>
        </w:tc>
      </w:tr>
    </w:tbl>
    <w:p>
      <w:pPr>
        <w:pBdr>
          <w:left w:val="single" w:color="C9882C" w:sz="18" w:space="8"/>
        </w:pBdr>
        <w:shd w:fill="FFF4E5" w:val="clear"/>
        <w:spacing w:after="240" w:before="120"/>
        <w:ind w:left="120"/>
      </w:pPr>
      <w:r>
        <w:rPr>
          <w:b/>
          <w:bCs/>
        </w:rPr>
        <w:t xml:space="preserve">Note: </w:t>
      </w:r>
      <w:r>
        <w:t xml:space="preserve">the configuration list above states epochs were increased to 200, but the model code for this run specifies n_epochs=100. Worth confirming which value was actually used before this report is finalized.</w:t>
      </w:r>
    </w:p>
    <w:p>
      <w:pPr>
        <w:pBdr>
          <w:left w:val="single" w:color="C9882C" w:sz="18" w:space="8"/>
        </w:pBdr>
        <w:shd w:fill="FFF4E5" w:val="clear"/>
        <w:spacing w:after="240" w:before="120"/>
        <w:ind w:left="120"/>
      </w:pPr>
      <w:r>
        <w:rPr>
          <w:b/>
          <w:bCs/>
        </w:rPr>
        <w:t xml:space="preserve">Note: </w:t>
      </w:r>
      <w:r>
        <w:t xml:space="preserve">the source material references a model architecture diagram for this run ("model architecture using quantile loss") but no diagram image was attached — flagging this as a gap to fill before this report is finalized.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Iteration 5 — 6-Month Horizon, Modified Configuration</w:t>
      </w:r>
    </w:p>
    <w:p>
      <w:pPr>
        <w:spacing w:after="120"/>
      </w:pPr>
      <w:r>
        <w:t xml:space="preserve">Output: percentiles (P10 / P50 / P90) from Quantile loss.</w:t>
      </w:r>
    </w:p>
    <w:p>
      <w:pPr>
        <w:pStyle w:val="Heading2"/>
      </w:pPr>
      <w:r>
        <w:t xml:space="preserve">Configuration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Train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Apr'23 – May'25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Val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Jun'24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Lookback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Feb'25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Lookahead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Jun'26 – Nov'26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100 → 200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Patience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 → 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 → 16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 function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Quantile loss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 used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Percentiles from Quantile loss</w:t>
            </w:r>
          </w:p>
        </w:tc>
      </w:tr>
    </w:tbl>
    <w:p>
      <w:pPr>
        <w:spacing w:after="120"/>
      </w:pPr>
      <w: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1,31,205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3,50,816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7,87,673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1,02,561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2,87,514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6,36,908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August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82,101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2,47,342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5,71,676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September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79,907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2,15,034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5,15,230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October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5,38,560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13,03,353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18,32,654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November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2,09,857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7,24,979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16,46,160</w:t>
            </w:r>
          </w:p>
        </w:tc>
      </w:tr>
    </w:tbl>
    <w:p>
      <w:pPr>
        <w:pBdr>
          <w:left w:val="single" w:color="C9882C" w:sz="18" w:space="8"/>
        </w:pBdr>
        <w:shd w:fill="FFF4E5" w:val="clear"/>
        <w:spacing w:after="240" w:before="120"/>
        <w:ind w:left="120"/>
      </w:pPr>
      <w:r>
        <w:rPr>
          <w:b/>
          <w:bCs/>
        </w:rPr>
        <w:t xml:space="preserve">Note: </w:t>
      </w:r>
      <w:r>
        <w:t xml:space="preserve">this configuration and output table are identical to Iteration 4 in the source material. Flagging this rather than silently merging or removing it — worth confirming whether Iteration 5 was meant to capture a different change that didn't make it into the draft.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Iteration 6 — 6-Month Horizon, Modified Configuration</w:t>
      </w:r>
    </w:p>
    <w:p>
      <w:pPr>
        <w:spacing w:after="120"/>
      </w:pPr>
      <w:r>
        <w:t xml:space="preserve">Loss function: Huber loss.</w:t>
      </w:r>
    </w:p>
    <w:p>
      <w:pPr>
        <w:pStyle w:val="Heading2"/>
      </w:pPr>
      <w:r>
        <w:t xml:space="preserve">Configuration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Train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Apr'23 – May'25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Val 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Jun'24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Lookback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Feb'25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Lookahead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Jun'26 – Nov'26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100 → 200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Patience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 → 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 → 16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 function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Huber loss</w:t>
            </w:r>
          </w:p>
        </w:tc>
      </w:tr>
    </w:tbl>
    <w:p>
      <w:pPr>
        <w:spacing w:after="120"/>
      </w:pPr>
      <w: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Predicted Sales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5,07,213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4,04,020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August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3,68,492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September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3,38,404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October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12,83,292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November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6,71,600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Deviation from last year sales, Huber loss" descr="Deviation from last year sales, Huber loss" title="Deviation from last year sales, Huber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Deviation from last year's sales — Huber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Huber loss overstates last year's sales in five of six months — June through August by 21–33%, and November by 63.3% — with September the lone exception at -5.5%. This is a much more one-sided bias than the quantile-loss runs, which undershot the early months and only overshot toward the end.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Deviation from last 4 year average sales, Huber loss" descr="Deviation from last 4 year average sales, Huber loss" title="Deviation from last 4 year average sales, Huber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Deviation from last 4-year average sales — Huber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Against the 4-year average, Huber loss overstates every month except November (-1.0%), ranging from +8.0% (August) to +24.5% (June). The direction of the bias is consistent across months, which makes Huber easier to characterize than the quantile runs — but it is still off in every month, and in the opposite direction from quantile loss's early-horizon undershoot.</w:t>
      </w:r>
    </w:p>
    <w:p>
      <w:pPr>
        <w:spacing w:before="120"/>
        <w:jc w:val="center"/>
      </w:pPr>
      <w:r>
        <w:drawing>
          <wp:inline distT="0" distB="0" distL="0" distR="0">
            <wp:extent cx="4572000" cy="819150"/>
            <wp:effectExtent t="0" r="0" b="0" l="0"/>
            <wp:docPr id="1" name="Training log: Huber loss, train/val loss per epoch" descr="Training log: Huber loss, train/val loss per epoch" title="Training log: Huber loss, train/val loss per 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Train and validation loss — Huber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Validation loss improves from 0.0216 to a best of 0.021 before plateauing and stopping at epoch 29 — the smallest relative improvement of the three training runs shown in this report, again consistent with an early plateau rather than continued learning.</w:t>
      </w:r>
    </w:p>
    <w:p>
      <w:pPr>
        <w:pStyle w:val="Heading2"/>
      </w:pPr>
      <w:r>
        <w:t xml:space="preserve">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batch_size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dropout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likelihood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loss_fn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torch.nn.HuberLoss(delta=0.1)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n_epochs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random_state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gradient_clip_val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Callbacks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LossLogger, EarlyStopping</w:t>
            </w:r>
          </w:p>
        </w:tc>
      </w:tr>
    </w:tbl>
    <w:p>
      <w:pPr>
        <w:pBdr>
          <w:left w:val="single" w:color="C9882C" w:sz="18" w:space="8"/>
        </w:pBdr>
        <w:shd w:fill="FFF4E5" w:val="clear"/>
        <w:spacing w:after="240" w:before="120"/>
        <w:ind w:left="120"/>
      </w:pPr>
      <w:r>
        <w:rPr>
          <w:b/>
          <w:bCs/>
        </w:rPr>
        <w:t xml:space="preserve">Note: </w:t>
      </w:r>
      <w:r>
        <w:t xml:space="preserve">as with Iteration 4, the source material references a model architecture diagram ("model architecture of Huber loss") with no diagram image attached.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Details as Requested by Soumakshya</w:t>
      </w:r>
    </w:p>
    <w:p>
      <w:pPr>
        <w:pStyle w:val="Heading2"/>
      </w:pPr>
      <w:r>
        <w:t xml:space="preserve">1. Backtest — Quantile Loss vs. Huber Loss (June 2025 – November 2025)</w:t>
      </w:r>
    </w:p>
    <w:p>
      <w:pPr>
        <w:spacing w:after="120"/>
      </w:pPr>
      <w:r>
        <w:t xml:space="preserve">Both the Quantile-loss model and the Huber-loss model were backtested on June 2025 – November 2025, a window with known actuals.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Backtest deviation from actual sales, Huber loss, Jun25-Nov25" descr="Backtest deviation from actual sales, Huber loss, Jun25-Nov25" title="Backtest deviation from actual sales, Huber loss, Jun25-Nov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Deviation from actual sales, Jun'25 – Nov'25 — Huber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On a window where actuals are already known, Huber loss over-predicts June–August by 17.5–52.8%, then swings to a -39.6% under-prediction in September before partially recovering. A model that flips from +52.8% to -39.6% within three months, on data it can be checked against, is not yet stable enough to anchor monthly commitments on.</w:t>
      </w:r>
    </w:p>
    <w:p>
      <w:pPr>
        <w:spacing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Backtest deviation from actual sales, Quantile loss, Jun25-Nov25" descr="Backtest deviation from actual sales, Quantile loss, Jun25-Nov25" title="Backtest deviation from actual sales, Quantile loss, Jun25-Nov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Deviation from actual sales, Jun'25 – Nov'25 — Mean prediction, Quantile loss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The quantile model's mean prediction follows the same shape on the same backtest window — over-predicting summer, under-predicting September (-30.5%) — but with smaller swings than Huber loss throughout. September is the common weak point for both loss functions on data with known outcomes, which is a stronger signal than the forward-looking forecasts alone.</w:t>
      </w:r>
    </w:p>
    <w:p>
      <w:pPr>
        <w:pStyle w:val="Heading2"/>
      </w:pPr>
      <w:r>
        <w:t xml:space="preserve">2. Encoder and Decoder Importance</w:t>
      </w:r>
    </w:p>
    <w:p>
      <w:pPr>
        <w:pBdr>
          <w:left w:val="single" w:color="C9882C" w:sz="18" w:space="8"/>
        </w:pBdr>
        <w:shd w:fill="FFF4E5" w:val="clear"/>
        <w:spacing w:after="240" w:before="120"/>
        <w:ind w:left="120"/>
      </w:pPr>
      <w:r>
        <w:rPr>
          <w:b/>
          <w:bCs/>
        </w:rPr>
        <w:t xml:space="preserve">Note: </w:t>
      </w:r>
      <w:r>
        <w:t xml:space="preserve">this section is listed in the source material as a heading only — no encoder/decoder importance plots were attached. This is the same encoder/decoder importance data already discussed separately; happy to generate and insert the corresponding charts here on request.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Known Limitation — Training Window Momentum Issue</w:t>
      </w:r>
    </w:p>
    <w:p>
      <w:pPr>
        <w:pBdr>
          <w:left w:val="single" w:color="C9882C" w:sz="18" w:space="8"/>
        </w:pBdr>
        <w:shd w:fill="FFF4E5" w:val="clear"/>
        <w:spacing w:after="240" w:before="120"/>
        <w:ind w:left="120"/>
      </w:pPr>
      <w:r>
        <w:rPr>
          <w:b/>
          <w:bCs/>
        </w:rPr>
        <w:t xml:space="preserve">Finding: </w:t>
      </w:r>
      <w:r>
        <w:t xml:space="preserve">with input_chunk_length = 16, training ended in May'25, so the model never saw the FY'26 decline. This is believed to be the cause of the model's overprediction.</w:t>
      </w:r>
    </w:p>
    <w:p>
      <w:pPr>
        <w:spacing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October sales vs FY total, FY23-FY26" descr="October sales vs FY total, FY23-FY26" title="October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October sales vs. FY total — FY'23 to FY'26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October swings far more than the FY total: -29.8% (FY24), +147.0% (FY25), then -13.5% (FY26) for the month itself, against a much milder -14.6% to +44.9% range for the FY total. FY'26 total sales are down 14.6% year-on-year — the decline this model's training window (ending May'25) never saw, and the proposed root cause of the overprediction described above.</w:t>
      </w:r>
    </w:p>
    <w:p>
      <w:pPr>
        <w:spacing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November sales vs FY total, FY23-FY26" descr="November sales vs FY total, FY23-FY26" title="November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November sales vs. FY total — FY'23 to FY'26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November is the most volatile single month in the dataset: +435.0% (FY24), then two consecutive declines of -41.4% (FY25) and -45.9% (FY26). A month swinging this hard is the hardest of the six to anchor on with only a 12–16 month lookback window.</w:t>
      </w:r>
    </w:p>
    <w:p>
      <w:pPr>
        <w:spacing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June sales vs FY total, FY23-FY26" descr="June sales vs FY total, FY23-FY26" title="June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June sales vs. FY total — FY'23 to FY'26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June is comparatively stable (3.2L–4.9L across four years, ±34% at most) relative to October/November — consistent with June being the most reliably forecast month across every iteration earlier in this report.</w:t>
      </w:r>
    </w:p>
    <w:p>
      <w:pPr>
        <w:spacing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July sales vs FY total, FY23-FY26" descr="July sales vs FY total, FY23-FY26" title="July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July sales vs. FY total — FY'23 to FY'26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July shows similar moderate volatility to June (2.5L–4.5L, -32.0% to +46.1%) — no sign of the extreme swings seen in October/November.</w:t>
      </w:r>
    </w:p>
    <w:p>
      <w:pPr>
        <w:spacing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August sales vs FY total, FY23-FY26" descr="August sales vs FY total, FY23-FY26" title="August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August sales vs. FY total — FY'23 to FY'26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August stabilized in FY24–25 (-2.7%) before dropping 23.2% in FY26 — a milder version of the same late-year softening visible in October/November, but starting from a smaller base.</w:t>
      </w:r>
    </w:p>
    <w:p>
      <w:pPr>
        <w:spacing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September sales vs FY total, FY23-FY26" descr="September sales vs FY total, FY23-FY26" title="September sales vs FY total, FY23-FY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55555"/>
          <w:sz w:val="20"/>
          <w:szCs w:val="20"/>
        </w:rPr>
        <w:t xml:space="preserve">September sales vs. FY total — FY'23 to FY'26</w:t>
      </w:r>
    </w:p>
    <w:p>
      <w:pPr>
        <w:pBdr>
          <w:left w:val="single" w:color="2E75B6" w:sz="18" w:space="8"/>
        </w:pBdr>
        <w:shd w:fill="EAF1FA" w:val="clear"/>
        <w:spacing w:after="240" w:before="60"/>
        <w:ind w:left="120"/>
      </w:pPr>
      <w:r>
        <w:rPr>
          <w:b/>
          <w:bCs/>
          <w:color w:val="1F4E79"/>
        </w:rPr>
        <w:t xml:space="preserve">Insight:  </w:t>
      </w:r>
      <w:r>
        <w:t xml:space="preserve">September is the only one of the six months where FY26 moved up (+59.2%) against a year that was down overall — which may explain why every model run in this report (mean, P50, and Huber) missed September in the same direction.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Recommendation</w:t>
      </w:r>
    </w:p>
    <w:p>
      <w:pPr>
        <w:spacing w:after="120"/>
      </w:pPr>
      <w:r>
        <w:t xml:space="preserve">To address the momentum issue, the following configuration is currently being tried: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input_chunk_length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output_chunk_length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Training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Apr'23 – Sep'25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Val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Oct'24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Lookback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Jun'25 – May'26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Lookahead data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Jun'26 – Nov'26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Loss function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Quantile loss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Epochs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Patience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</w:rPr>
              <w:t xml:space="preserve">Batch size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TFT Model —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i/>
      <w:i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0016ad40e7d53d059e8f28bd669ddec2685076.png"/><Relationship Id="rId10" Type="http://schemas.openxmlformats.org/officeDocument/2006/relationships/image" Target="media/3321898f2f1ab2ee703be86fdba3f6669a2d0f75.png"/><Relationship Id="rId11" Type="http://schemas.openxmlformats.org/officeDocument/2006/relationships/image" Target="media/c27b6518a6320472e1aafc86ce160fcfe9f749bb.png"/><Relationship Id="rId12" Type="http://schemas.openxmlformats.org/officeDocument/2006/relationships/image" Target="media/afdacaf9bbd244ef2d040834030169f99b628e10.png"/><Relationship Id="rId13" Type="http://schemas.openxmlformats.org/officeDocument/2006/relationships/image" Target="media/3b54b2790bc28e35ffcca565aabd6168c9459430.png"/><Relationship Id="rId14" Type="http://schemas.openxmlformats.org/officeDocument/2006/relationships/image" Target="media/588fd8fc6dbe34462b38feb12c31ade78825f486.png"/><Relationship Id="rId15" Type="http://schemas.openxmlformats.org/officeDocument/2006/relationships/image" Target="media/73c610946b9dea1f1d7f42970a005efeb26561f9.png"/><Relationship Id="rId16" Type="http://schemas.openxmlformats.org/officeDocument/2006/relationships/image" Target="media/7e7534302b97e98ae6268238e64af7b7b7cc57f7.png"/><Relationship Id="rId17" Type="http://schemas.openxmlformats.org/officeDocument/2006/relationships/image" Target="media/459bfe9f385039bc416b7edeeb717ee21b76ee78.png"/><Relationship Id="rId18" Type="http://schemas.openxmlformats.org/officeDocument/2006/relationships/image" Target="media/6c94395f83d4778cb245e3705ded0666d09a76f3.png"/><Relationship Id="rId19" Type="http://schemas.openxmlformats.org/officeDocument/2006/relationships/image" Target="media/b8dc12ada581605ef2ba04785aef83d9f05af9c1.png"/><Relationship Id="rId20" Type="http://schemas.openxmlformats.org/officeDocument/2006/relationships/image" Target="media/9937e7faa5e463c66fbf5e7fc06cb6e8f5cdd548.png"/><Relationship Id="rId21" Type="http://schemas.openxmlformats.org/officeDocument/2006/relationships/image" Target="media/dc98efef2b4703440df1ec83246f78722ad6cf38.png"/><Relationship Id="rId22" Type="http://schemas.openxmlformats.org/officeDocument/2006/relationships/image" Target="media/092e3291e30640e2234c542ac78efa90a8253709.png"/><Relationship Id="rId23" Type="http://schemas.openxmlformats.org/officeDocument/2006/relationships/image" Target="media/0de40a6d73475a36363b7426883a4daa19d0cd92.png"/><Relationship Id="rId24" Type="http://schemas.openxmlformats.org/officeDocument/2006/relationships/image" Target="media/a1ea81de4bdf7b857393a6fd1764bbe3ce250b74.png"/><Relationship Id="rId25" Type="http://schemas.openxmlformats.org/officeDocument/2006/relationships/image" Target="media/b2ca48fb0b3a113a77f140536bc2b5a506a4b934.png"/><Relationship Id="rId26" Type="http://schemas.openxmlformats.org/officeDocument/2006/relationships/image" Target="media/28681e0459ab32df1590f387181a197b4a9ea56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2026-06-19T07:05:21.771Z</dcterms:created>
  <dcterms:modified xsi:type="dcterms:W3CDTF">2026-06-19T07:05:21.771Z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