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A022A5" w14:textId="77777777" w:rsidR="00391E0D" w:rsidRDefault="00072DB8">
      <w:pPr>
        <w:spacing w:before="1400" w:after="100"/>
        <w:jc w:val="center"/>
      </w:pPr>
      <w:r>
        <w:rPr>
          <w:b/>
          <w:bCs/>
          <w:color w:val="1F3864"/>
          <w:sz w:val="46"/>
          <w:szCs w:val="46"/>
        </w:rPr>
        <w:t>Daily Demand Forecast</w:t>
      </w:r>
    </w:p>
    <w:p w14:paraId="0B5DE4B8" w14:textId="77777777" w:rsidR="00391E0D" w:rsidRDefault="00072DB8">
      <w:pPr>
        <w:spacing w:after="260"/>
        <w:jc w:val="center"/>
      </w:pPr>
      <w:r>
        <w:rPr>
          <w:color w:val="2E74B5"/>
          <w:sz w:val="28"/>
          <w:szCs w:val="28"/>
        </w:rPr>
        <w:t>TFT Model — Diagnostic Findings and Prioritised Changes</w:t>
      </w:r>
    </w:p>
    <w:p w14:paraId="2C1C12FA" w14:textId="77777777" w:rsidR="00391E0D" w:rsidRDefault="00072DB8">
      <w:pPr>
        <w:pBdr>
          <w:top w:val="single" w:sz="6" w:space="8" w:color="2E74B5"/>
        </w:pBdr>
        <w:spacing w:after="60"/>
        <w:jc w:val="center"/>
      </w:pPr>
      <w:r>
        <w:rPr>
          <w:color w:val="595959"/>
        </w:rPr>
        <w:t>Scope: all model families — scooters and motorcycles</w:t>
      </w:r>
    </w:p>
    <w:p w14:paraId="4C10DA22" w14:textId="77777777" w:rsidR="00391E0D" w:rsidRDefault="00072DB8">
      <w:pPr>
        <w:jc w:val="center"/>
      </w:pPr>
      <w:r>
        <w:rPr>
          <w:color w:val="595959"/>
        </w:rPr>
        <w:t>Forecast window: 01 Sep 2026 – 10 Dec 2026  |  Model: Temporal Fusion Transformer (Darts)</w:t>
      </w:r>
    </w:p>
    <w:p w14:paraId="3D8D37F9" w14:textId="77777777" w:rsidR="00391E0D" w:rsidRDefault="00072DB8">
      <w:pPr>
        <w:jc w:val="center"/>
      </w:pPr>
      <w:r>
        <w:rPr>
          <w:color w:val="595959"/>
        </w:rPr>
        <w:t>Forecast level: PARENT_DEALER_CODE × MODEL_FAMILY × variant</w:t>
      </w:r>
    </w:p>
    <w:p w14:paraId="6DA91B54" w14:textId="77777777" w:rsidR="00391E0D" w:rsidRDefault="00072DB8">
      <w:pPr>
        <w:spacing w:before="60"/>
        <w:jc w:val="center"/>
      </w:pPr>
      <w:r>
        <w:rPr>
          <w:i/>
          <w:iCs/>
          <w:color w:val="595959"/>
        </w:rPr>
        <w:t>Objective: 75% accuracy (1 − MAPE) on Runner SKUs</w:t>
      </w:r>
    </w:p>
    <w:p w14:paraId="0B8A577C" w14:textId="77777777" w:rsidR="00391E0D" w:rsidRDefault="00072DB8">
      <w:r>
        <w:br w:type="page"/>
      </w:r>
    </w:p>
    <w:p w14:paraId="554AEE29" w14:textId="77777777" w:rsidR="00391E0D" w:rsidRDefault="00072DB8">
      <w:pPr>
        <w:pStyle w:val="Heading1"/>
        <w:spacing w:before="360" w:after="160"/>
      </w:pPr>
      <w:r>
        <w:rPr>
          <w:b/>
          <w:bCs/>
          <w:color w:val="1F3864"/>
          <w:sz w:val="30"/>
          <w:szCs w:val="30"/>
        </w:rPr>
        <w:lastRenderedPageBreak/>
        <w:t>1. Changes at a Glance</w:t>
      </w:r>
    </w:p>
    <w:p w14:paraId="369F8AFD" w14:textId="77777777" w:rsidR="00391E0D" w:rsidRDefault="00072DB8">
      <w:pPr>
        <w:spacing w:after="120" w:line="276" w:lineRule="auto"/>
      </w:pPr>
      <w:r>
        <w:rPr>
          <w:color w:val="000000"/>
        </w:rPr>
        <w:t>The model underpredicts festive demand. The scooter build was used as the diagnostic case, but every finding below is a property of the pipeline rather than of one product line, so the changes apply across all model families.</w:t>
      </w:r>
    </w:p>
    <w:p w14:paraId="21A3DB90" w14:textId="77777777" w:rsidR="00391E0D" w:rsidRDefault="00072DB8">
      <w:pPr>
        <w:spacing w:after="120" w:line="276" w:lineRule="auto"/>
      </w:pPr>
      <w:r>
        <w:rPr>
          <w:color w:val="000000"/>
        </w:rPr>
        <w:t>Nine changes were identified. They are not equally important and they are not independent — several push in the same direction, which is why the underprediction is systematic rather than random. They are listed below in order of expected contribution, with implementation cost taken into account.</w:t>
      </w:r>
    </w:p>
    <w:tbl>
      <w:tblPr>
        <w:tblW w:w="6561"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582"/>
        <w:gridCol w:w="2978"/>
        <w:gridCol w:w="3001"/>
      </w:tblGrid>
      <w:tr w:rsidR="003702EF" w14:paraId="193A62FE" w14:textId="77777777" w:rsidTr="003702EF">
        <w:trPr>
          <w:tblHeader/>
        </w:trPr>
        <w:tc>
          <w:tcPr>
            <w:tcW w:w="582" w:type="dxa"/>
            <w:shd w:val="clear" w:color="auto" w:fill="1F3864"/>
            <w:tcMar>
              <w:top w:w="90" w:type="dxa"/>
              <w:left w:w="130" w:type="dxa"/>
              <w:bottom w:w="90" w:type="dxa"/>
              <w:right w:w="130" w:type="dxa"/>
            </w:tcMar>
            <w:vAlign w:val="center"/>
          </w:tcPr>
          <w:p w14:paraId="262ADA03" w14:textId="77777777" w:rsidR="003702EF" w:rsidRDefault="003702EF">
            <w:pPr>
              <w:spacing w:line="260" w:lineRule="auto"/>
            </w:pPr>
            <w:r>
              <w:rPr>
                <w:b/>
                <w:bCs/>
                <w:color w:val="FFFFFF"/>
                <w:sz w:val="19"/>
                <w:szCs w:val="19"/>
              </w:rPr>
              <w:t>#</w:t>
            </w:r>
          </w:p>
        </w:tc>
        <w:tc>
          <w:tcPr>
            <w:tcW w:w="2978" w:type="dxa"/>
            <w:shd w:val="clear" w:color="auto" w:fill="1F3864"/>
            <w:tcMar>
              <w:top w:w="90" w:type="dxa"/>
              <w:left w:w="130" w:type="dxa"/>
              <w:bottom w:w="90" w:type="dxa"/>
              <w:right w:w="130" w:type="dxa"/>
            </w:tcMar>
            <w:vAlign w:val="center"/>
          </w:tcPr>
          <w:p w14:paraId="54FA6F7E" w14:textId="77777777" w:rsidR="003702EF" w:rsidRDefault="003702EF">
            <w:pPr>
              <w:spacing w:line="260" w:lineRule="auto"/>
            </w:pPr>
            <w:r>
              <w:rPr>
                <w:b/>
                <w:bCs/>
                <w:color w:val="FFFFFF"/>
                <w:sz w:val="19"/>
                <w:szCs w:val="19"/>
              </w:rPr>
              <w:t>Change</w:t>
            </w:r>
          </w:p>
        </w:tc>
        <w:tc>
          <w:tcPr>
            <w:tcW w:w="3001" w:type="dxa"/>
            <w:shd w:val="clear" w:color="auto" w:fill="1F3864"/>
            <w:tcMar>
              <w:top w:w="90" w:type="dxa"/>
              <w:left w:w="130" w:type="dxa"/>
              <w:bottom w:w="90" w:type="dxa"/>
              <w:right w:w="130" w:type="dxa"/>
            </w:tcMar>
            <w:vAlign w:val="center"/>
          </w:tcPr>
          <w:p w14:paraId="26941CC7" w14:textId="77777777" w:rsidR="003702EF" w:rsidRDefault="003702EF">
            <w:pPr>
              <w:spacing w:line="260" w:lineRule="auto"/>
            </w:pPr>
            <w:r>
              <w:rPr>
                <w:b/>
                <w:bCs/>
                <w:color w:val="FFFFFF"/>
                <w:sz w:val="19"/>
                <w:szCs w:val="19"/>
              </w:rPr>
              <w:t>Addresses</w:t>
            </w:r>
          </w:p>
        </w:tc>
      </w:tr>
      <w:tr w:rsidR="003702EF" w14:paraId="7527F563" w14:textId="77777777" w:rsidTr="003702EF">
        <w:tc>
          <w:tcPr>
            <w:tcW w:w="582" w:type="dxa"/>
            <w:tcMar>
              <w:top w:w="90" w:type="dxa"/>
              <w:left w:w="130" w:type="dxa"/>
              <w:bottom w:w="90" w:type="dxa"/>
              <w:right w:w="130" w:type="dxa"/>
            </w:tcMar>
            <w:vAlign w:val="center"/>
          </w:tcPr>
          <w:p w14:paraId="6FF4689C" w14:textId="77777777" w:rsidR="003702EF" w:rsidRDefault="003702EF">
            <w:pPr>
              <w:spacing w:line="260" w:lineRule="auto"/>
            </w:pPr>
            <w:r>
              <w:rPr>
                <w:b/>
                <w:bCs/>
                <w:color w:val="000000"/>
                <w:sz w:val="19"/>
                <w:szCs w:val="19"/>
              </w:rPr>
              <w:t>P1</w:t>
            </w:r>
          </w:p>
        </w:tc>
        <w:tc>
          <w:tcPr>
            <w:tcW w:w="2978" w:type="dxa"/>
            <w:tcMar>
              <w:top w:w="90" w:type="dxa"/>
              <w:left w:w="130" w:type="dxa"/>
              <w:bottom w:w="90" w:type="dxa"/>
              <w:right w:w="130" w:type="dxa"/>
            </w:tcMar>
            <w:vAlign w:val="center"/>
          </w:tcPr>
          <w:p w14:paraId="0E5E2DAC" w14:textId="77777777" w:rsidR="003702EF" w:rsidRDefault="003702EF">
            <w:pPr>
              <w:spacing w:line="260" w:lineRule="auto"/>
            </w:pPr>
            <w:r>
              <w:rPr>
                <w:color w:val="000000"/>
                <w:sz w:val="19"/>
                <w:szCs w:val="19"/>
              </w:rPr>
              <w:t>Rebuild the validation split</w:t>
            </w:r>
          </w:p>
        </w:tc>
        <w:tc>
          <w:tcPr>
            <w:tcW w:w="3001" w:type="dxa"/>
            <w:tcMar>
              <w:top w:w="90" w:type="dxa"/>
              <w:left w:w="130" w:type="dxa"/>
              <w:bottom w:w="90" w:type="dxa"/>
              <w:right w:w="130" w:type="dxa"/>
            </w:tcMar>
            <w:vAlign w:val="center"/>
          </w:tcPr>
          <w:p w14:paraId="4E0AE2D8" w14:textId="77777777" w:rsidR="003702EF" w:rsidRDefault="003702EF">
            <w:pPr>
              <w:spacing w:line="260" w:lineRule="auto"/>
            </w:pPr>
            <w:r>
              <w:rPr>
                <w:color w:val="000000"/>
                <w:sz w:val="19"/>
                <w:szCs w:val="19"/>
              </w:rPr>
              <w:t>Checkpoint selection has no festive signal</w:t>
            </w:r>
          </w:p>
        </w:tc>
      </w:tr>
      <w:tr w:rsidR="003702EF" w14:paraId="7E6192F2" w14:textId="77777777" w:rsidTr="003702EF">
        <w:tc>
          <w:tcPr>
            <w:tcW w:w="582" w:type="dxa"/>
            <w:shd w:val="clear" w:color="auto" w:fill="F2F5FA"/>
            <w:tcMar>
              <w:top w:w="90" w:type="dxa"/>
              <w:left w:w="130" w:type="dxa"/>
              <w:bottom w:w="90" w:type="dxa"/>
              <w:right w:w="130" w:type="dxa"/>
            </w:tcMar>
            <w:vAlign w:val="center"/>
          </w:tcPr>
          <w:p w14:paraId="18FDDDC3" w14:textId="77777777" w:rsidR="003702EF" w:rsidRDefault="003702EF">
            <w:pPr>
              <w:spacing w:line="260" w:lineRule="auto"/>
            </w:pPr>
            <w:r>
              <w:rPr>
                <w:b/>
                <w:bCs/>
                <w:color w:val="000000"/>
                <w:sz w:val="19"/>
                <w:szCs w:val="19"/>
              </w:rPr>
              <w:t>P2</w:t>
            </w:r>
          </w:p>
        </w:tc>
        <w:tc>
          <w:tcPr>
            <w:tcW w:w="2978" w:type="dxa"/>
            <w:shd w:val="clear" w:color="auto" w:fill="F2F5FA"/>
            <w:tcMar>
              <w:top w:w="90" w:type="dxa"/>
              <w:left w:w="130" w:type="dxa"/>
              <w:bottom w:w="90" w:type="dxa"/>
              <w:right w:w="130" w:type="dxa"/>
            </w:tcMar>
            <w:vAlign w:val="center"/>
          </w:tcPr>
          <w:p w14:paraId="5E3152FC" w14:textId="77777777" w:rsidR="003702EF" w:rsidRDefault="003702EF">
            <w:pPr>
              <w:spacing w:line="260" w:lineRule="auto"/>
            </w:pPr>
            <w:r>
              <w:rPr>
                <w:color w:val="000000"/>
                <w:sz w:val="19"/>
                <w:szCs w:val="19"/>
              </w:rPr>
              <w:t>Replace per-series min-max scaling</w:t>
            </w:r>
          </w:p>
        </w:tc>
        <w:tc>
          <w:tcPr>
            <w:tcW w:w="3001" w:type="dxa"/>
            <w:shd w:val="clear" w:color="auto" w:fill="F2F5FA"/>
            <w:tcMar>
              <w:top w:w="90" w:type="dxa"/>
              <w:left w:w="130" w:type="dxa"/>
              <w:bottom w:w="90" w:type="dxa"/>
              <w:right w:w="130" w:type="dxa"/>
            </w:tcMar>
            <w:vAlign w:val="center"/>
          </w:tcPr>
          <w:p w14:paraId="254982E3" w14:textId="77777777" w:rsidR="003702EF" w:rsidRDefault="003702EF">
            <w:pPr>
              <w:spacing w:line="260" w:lineRule="auto"/>
            </w:pPr>
            <w:r>
              <w:rPr>
                <w:color w:val="000000"/>
                <w:sz w:val="19"/>
                <w:szCs w:val="19"/>
              </w:rPr>
              <w:t>Peaks compressed; model converges low</w:t>
            </w:r>
          </w:p>
        </w:tc>
      </w:tr>
      <w:tr w:rsidR="003702EF" w14:paraId="6ACD1FA4" w14:textId="77777777" w:rsidTr="003702EF">
        <w:tc>
          <w:tcPr>
            <w:tcW w:w="582" w:type="dxa"/>
            <w:tcMar>
              <w:top w:w="90" w:type="dxa"/>
              <w:left w:w="130" w:type="dxa"/>
              <w:bottom w:w="90" w:type="dxa"/>
              <w:right w:w="130" w:type="dxa"/>
            </w:tcMar>
            <w:vAlign w:val="center"/>
          </w:tcPr>
          <w:p w14:paraId="004F4C06" w14:textId="77777777" w:rsidR="003702EF" w:rsidRDefault="003702EF">
            <w:pPr>
              <w:spacing w:line="260" w:lineRule="auto"/>
            </w:pPr>
            <w:r>
              <w:rPr>
                <w:b/>
                <w:bCs/>
                <w:color w:val="000000"/>
                <w:sz w:val="19"/>
                <w:szCs w:val="19"/>
              </w:rPr>
              <w:t>P3</w:t>
            </w:r>
          </w:p>
        </w:tc>
        <w:tc>
          <w:tcPr>
            <w:tcW w:w="2978" w:type="dxa"/>
            <w:tcMar>
              <w:top w:w="90" w:type="dxa"/>
              <w:left w:w="130" w:type="dxa"/>
              <w:bottom w:w="90" w:type="dxa"/>
              <w:right w:w="130" w:type="dxa"/>
            </w:tcMar>
            <w:vAlign w:val="center"/>
          </w:tcPr>
          <w:p w14:paraId="7D242A43" w14:textId="77777777" w:rsidR="003702EF" w:rsidRDefault="003702EF">
            <w:pPr>
              <w:spacing w:line="260" w:lineRule="auto"/>
            </w:pPr>
            <w:r>
              <w:rPr>
                <w:color w:val="000000"/>
                <w:sz w:val="19"/>
                <w:szCs w:val="19"/>
              </w:rPr>
              <w:t>Weight training towards Runner volume</w:t>
            </w:r>
          </w:p>
        </w:tc>
        <w:tc>
          <w:tcPr>
            <w:tcW w:w="3001" w:type="dxa"/>
            <w:tcMar>
              <w:top w:w="90" w:type="dxa"/>
              <w:left w:w="130" w:type="dxa"/>
              <w:bottom w:w="90" w:type="dxa"/>
              <w:right w:w="130" w:type="dxa"/>
            </w:tcMar>
            <w:vAlign w:val="center"/>
          </w:tcPr>
          <w:p w14:paraId="6F76535C" w14:textId="77777777" w:rsidR="003702EF" w:rsidRDefault="003702EF">
            <w:pPr>
              <w:spacing w:line="260" w:lineRule="auto"/>
            </w:pPr>
            <w:r>
              <w:rPr>
                <w:color w:val="000000"/>
                <w:sz w:val="19"/>
                <w:szCs w:val="19"/>
              </w:rPr>
              <w:t>Capacity spent on series we are not scored on</w:t>
            </w:r>
          </w:p>
        </w:tc>
      </w:tr>
      <w:tr w:rsidR="003702EF" w14:paraId="30989D11" w14:textId="77777777" w:rsidTr="003702EF">
        <w:tc>
          <w:tcPr>
            <w:tcW w:w="582" w:type="dxa"/>
            <w:shd w:val="clear" w:color="auto" w:fill="F2F5FA"/>
            <w:tcMar>
              <w:top w:w="90" w:type="dxa"/>
              <w:left w:w="130" w:type="dxa"/>
              <w:bottom w:w="90" w:type="dxa"/>
              <w:right w:w="130" w:type="dxa"/>
            </w:tcMar>
            <w:vAlign w:val="center"/>
          </w:tcPr>
          <w:p w14:paraId="5A43D894" w14:textId="77777777" w:rsidR="003702EF" w:rsidRDefault="003702EF">
            <w:pPr>
              <w:spacing w:line="260" w:lineRule="auto"/>
            </w:pPr>
            <w:r>
              <w:rPr>
                <w:b/>
                <w:bCs/>
                <w:color w:val="000000"/>
                <w:sz w:val="19"/>
                <w:szCs w:val="19"/>
              </w:rPr>
              <w:t>P4</w:t>
            </w:r>
          </w:p>
        </w:tc>
        <w:tc>
          <w:tcPr>
            <w:tcW w:w="2978" w:type="dxa"/>
            <w:shd w:val="clear" w:color="auto" w:fill="F2F5FA"/>
            <w:tcMar>
              <w:top w:w="90" w:type="dxa"/>
              <w:left w:w="130" w:type="dxa"/>
              <w:bottom w:w="90" w:type="dxa"/>
              <w:right w:w="130" w:type="dxa"/>
            </w:tcMar>
            <w:vAlign w:val="center"/>
          </w:tcPr>
          <w:p w14:paraId="77D8854C" w14:textId="77777777" w:rsidR="003702EF" w:rsidRDefault="003702EF">
            <w:pPr>
              <w:spacing w:line="260" w:lineRule="auto"/>
            </w:pPr>
            <w:r>
              <w:rPr>
                <w:color w:val="000000"/>
                <w:sz w:val="19"/>
                <w:szCs w:val="19"/>
              </w:rPr>
              <w:t>Correct the loss function</w:t>
            </w:r>
          </w:p>
        </w:tc>
        <w:tc>
          <w:tcPr>
            <w:tcW w:w="3001" w:type="dxa"/>
            <w:shd w:val="clear" w:color="auto" w:fill="F2F5FA"/>
            <w:tcMar>
              <w:top w:w="90" w:type="dxa"/>
              <w:left w:w="130" w:type="dxa"/>
              <w:bottom w:w="90" w:type="dxa"/>
              <w:right w:w="130" w:type="dxa"/>
            </w:tcMar>
            <w:vAlign w:val="center"/>
          </w:tcPr>
          <w:p w14:paraId="487EA527" w14:textId="77777777" w:rsidR="003702EF" w:rsidRDefault="003702EF">
            <w:pPr>
              <w:spacing w:line="260" w:lineRule="auto"/>
            </w:pPr>
            <w:r>
              <w:rPr>
                <w:color w:val="000000"/>
                <w:sz w:val="19"/>
                <w:szCs w:val="19"/>
              </w:rPr>
              <w:t>Festive term pulls predictions down</w:t>
            </w:r>
          </w:p>
        </w:tc>
      </w:tr>
      <w:tr w:rsidR="003702EF" w14:paraId="6A92DA57" w14:textId="77777777" w:rsidTr="003702EF">
        <w:tc>
          <w:tcPr>
            <w:tcW w:w="582" w:type="dxa"/>
            <w:tcMar>
              <w:top w:w="90" w:type="dxa"/>
              <w:left w:w="130" w:type="dxa"/>
              <w:bottom w:w="90" w:type="dxa"/>
              <w:right w:w="130" w:type="dxa"/>
            </w:tcMar>
            <w:vAlign w:val="center"/>
          </w:tcPr>
          <w:p w14:paraId="69CE68CB" w14:textId="77777777" w:rsidR="003702EF" w:rsidRDefault="003702EF">
            <w:pPr>
              <w:spacing w:line="260" w:lineRule="auto"/>
            </w:pPr>
            <w:r>
              <w:rPr>
                <w:b/>
                <w:bCs/>
                <w:color w:val="000000"/>
                <w:sz w:val="19"/>
                <w:szCs w:val="19"/>
              </w:rPr>
              <w:t>P5</w:t>
            </w:r>
          </w:p>
        </w:tc>
        <w:tc>
          <w:tcPr>
            <w:tcW w:w="2978" w:type="dxa"/>
            <w:tcMar>
              <w:top w:w="90" w:type="dxa"/>
              <w:left w:w="130" w:type="dxa"/>
              <w:bottom w:w="90" w:type="dxa"/>
              <w:right w:w="130" w:type="dxa"/>
            </w:tcMar>
            <w:vAlign w:val="center"/>
          </w:tcPr>
          <w:p w14:paraId="2E9728DC" w14:textId="77777777" w:rsidR="003702EF" w:rsidRDefault="003702EF">
            <w:pPr>
              <w:spacing w:line="260" w:lineRule="auto"/>
            </w:pPr>
            <w:r>
              <w:rPr>
                <w:color w:val="000000"/>
                <w:sz w:val="19"/>
                <w:szCs w:val="19"/>
              </w:rPr>
              <w:t>Repair the covariate set</w:t>
            </w:r>
          </w:p>
        </w:tc>
        <w:tc>
          <w:tcPr>
            <w:tcW w:w="3001" w:type="dxa"/>
            <w:tcMar>
              <w:top w:w="90" w:type="dxa"/>
              <w:left w:w="130" w:type="dxa"/>
              <w:bottom w:w="90" w:type="dxa"/>
              <w:right w:w="130" w:type="dxa"/>
            </w:tcMar>
            <w:vAlign w:val="center"/>
          </w:tcPr>
          <w:p w14:paraId="78075616" w14:textId="77777777" w:rsidR="003702EF" w:rsidRDefault="003702EF">
            <w:pPr>
              <w:spacing w:line="260" w:lineRule="auto"/>
            </w:pPr>
            <w:r>
              <w:rPr>
                <w:color w:val="000000"/>
                <w:sz w:val="19"/>
                <w:szCs w:val="19"/>
              </w:rPr>
              <w:t>24 near-empty flags dilute variable selection</w:t>
            </w:r>
          </w:p>
        </w:tc>
      </w:tr>
      <w:tr w:rsidR="003702EF" w14:paraId="2D9F7A98" w14:textId="77777777" w:rsidTr="003702EF">
        <w:tc>
          <w:tcPr>
            <w:tcW w:w="582" w:type="dxa"/>
            <w:shd w:val="clear" w:color="auto" w:fill="F2F5FA"/>
            <w:tcMar>
              <w:top w:w="90" w:type="dxa"/>
              <w:left w:w="130" w:type="dxa"/>
              <w:bottom w:w="90" w:type="dxa"/>
              <w:right w:w="130" w:type="dxa"/>
            </w:tcMar>
            <w:vAlign w:val="center"/>
          </w:tcPr>
          <w:p w14:paraId="1ECF3CB6" w14:textId="77777777" w:rsidR="003702EF" w:rsidRDefault="003702EF">
            <w:pPr>
              <w:spacing w:line="260" w:lineRule="auto"/>
            </w:pPr>
            <w:r>
              <w:rPr>
                <w:b/>
                <w:bCs/>
                <w:color w:val="000000"/>
                <w:sz w:val="19"/>
                <w:szCs w:val="19"/>
              </w:rPr>
              <w:t>P6</w:t>
            </w:r>
          </w:p>
        </w:tc>
        <w:tc>
          <w:tcPr>
            <w:tcW w:w="2978" w:type="dxa"/>
            <w:shd w:val="clear" w:color="auto" w:fill="F2F5FA"/>
            <w:tcMar>
              <w:top w:w="90" w:type="dxa"/>
              <w:left w:w="130" w:type="dxa"/>
              <w:bottom w:w="90" w:type="dxa"/>
              <w:right w:w="130" w:type="dxa"/>
            </w:tcMar>
            <w:vAlign w:val="center"/>
          </w:tcPr>
          <w:p w14:paraId="0F58C453" w14:textId="77777777" w:rsidR="003702EF" w:rsidRDefault="003702EF">
            <w:pPr>
              <w:spacing w:line="260" w:lineRule="auto"/>
            </w:pPr>
            <w:r>
              <w:rPr>
                <w:color w:val="000000"/>
                <w:sz w:val="19"/>
                <w:szCs w:val="19"/>
              </w:rPr>
              <w:t>Use categorical embeddings</w:t>
            </w:r>
          </w:p>
        </w:tc>
        <w:tc>
          <w:tcPr>
            <w:tcW w:w="3001" w:type="dxa"/>
            <w:shd w:val="clear" w:color="auto" w:fill="F2F5FA"/>
            <w:tcMar>
              <w:top w:w="90" w:type="dxa"/>
              <w:left w:w="130" w:type="dxa"/>
              <w:bottom w:w="90" w:type="dxa"/>
              <w:right w:w="130" w:type="dxa"/>
            </w:tcMar>
            <w:vAlign w:val="center"/>
          </w:tcPr>
          <w:p w14:paraId="5B704C16" w14:textId="77777777" w:rsidR="003702EF" w:rsidRDefault="003702EF">
            <w:pPr>
              <w:spacing w:line="260" w:lineRule="auto"/>
            </w:pPr>
            <w:r>
              <w:rPr>
                <w:color w:val="000000"/>
                <w:sz w:val="19"/>
                <w:szCs w:val="19"/>
              </w:rPr>
              <w:t>Dealer codes read as continuous numbers</w:t>
            </w:r>
          </w:p>
        </w:tc>
      </w:tr>
      <w:tr w:rsidR="003702EF" w14:paraId="46877561" w14:textId="77777777" w:rsidTr="003702EF">
        <w:tc>
          <w:tcPr>
            <w:tcW w:w="582" w:type="dxa"/>
            <w:tcMar>
              <w:top w:w="90" w:type="dxa"/>
              <w:left w:w="130" w:type="dxa"/>
              <w:bottom w:w="90" w:type="dxa"/>
              <w:right w:w="130" w:type="dxa"/>
            </w:tcMar>
            <w:vAlign w:val="center"/>
          </w:tcPr>
          <w:p w14:paraId="5A2EF12F" w14:textId="77777777" w:rsidR="003702EF" w:rsidRDefault="003702EF">
            <w:pPr>
              <w:spacing w:line="260" w:lineRule="auto"/>
            </w:pPr>
            <w:r>
              <w:rPr>
                <w:b/>
                <w:bCs/>
                <w:color w:val="000000"/>
                <w:sz w:val="19"/>
                <w:szCs w:val="19"/>
              </w:rPr>
              <w:t>P7</w:t>
            </w:r>
          </w:p>
        </w:tc>
        <w:tc>
          <w:tcPr>
            <w:tcW w:w="2978" w:type="dxa"/>
            <w:tcMar>
              <w:top w:w="90" w:type="dxa"/>
              <w:left w:w="130" w:type="dxa"/>
              <w:bottom w:w="90" w:type="dxa"/>
              <w:right w:w="130" w:type="dxa"/>
            </w:tcMar>
            <w:vAlign w:val="center"/>
          </w:tcPr>
          <w:p w14:paraId="55E77B5A" w14:textId="77777777" w:rsidR="003702EF" w:rsidRDefault="003702EF">
            <w:pPr>
              <w:spacing w:line="260" w:lineRule="auto"/>
            </w:pPr>
            <w:r>
              <w:rPr>
                <w:color w:val="000000"/>
                <w:sz w:val="19"/>
                <w:szCs w:val="19"/>
              </w:rPr>
              <w:t>Make the growth assumption explicit</w:t>
            </w:r>
          </w:p>
        </w:tc>
        <w:tc>
          <w:tcPr>
            <w:tcW w:w="3001" w:type="dxa"/>
            <w:tcMar>
              <w:top w:w="90" w:type="dxa"/>
              <w:left w:w="130" w:type="dxa"/>
              <w:bottom w:w="90" w:type="dxa"/>
              <w:right w:w="130" w:type="dxa"/>
            </w:tcMar>
            <w:vAlign w:val="center"/>
          </w:tcPr>
          <w:p w14:paraId="2C741F63" w14:textId="77777777" w:rsidR="003702EF" w:rsidRDefault="003702EF">
            <w:pPr>
              <w:spacing w:line="260" w:lineRule="auto"/>
            </w:pPr>
            <w:r>
              <w:rPr>
                <w:color w:val="000000"/>
                <w:sz w:val="19"/>
                <w:szCs w:val="19"/>
              </w:rPr>
              <w:t xml:space="preserve">Business judgement is implicit and </w:t>
            </w:r>
            <w:proofErr w:type="spellStart"/>
            <w:r>
              <w:rPr>
                <w:color w:val="000000"/>
                <w:sz w:val="19"/>
                <w:szCs w:val="19"/>
              </w:rPr>
              <w:t>unauditable</w:t>
            </w:r>
            <w:proofErr w:type="spellEnd"/>
          </w:p>
        </w:tc>
      </w:tr>
      <w:tr w:rsidR="003702EF" w14:paraId="741170E5" w14:textId="77777777" w:rsidTr="003702EF">
        <w:tc>
          <w:tcPr>
            <w:tcW w:w="582" w:type="dxa"/>
            <w:shd w:val="clear" w:color="auto" w:fill="F2F5FA"/>
            <w:tcMar>
              <w:top w:w="90" w:type="dxa"/>
              <w:left w:w="130" w:type="dxa"/>
              <w:bottom w:w="90" w:type="dxa"/>
              <w:right w:w="130" w:type="dxa"/>
            </w:tcMar>
            <w:vAlign w:val="center"/>
          </w:tcPr>
          <w:p w14:paraId="55AEF097" w14:textId="77777777" w:rsidR="003702EF" w:rsidRDefault="003702EF">
            <w:pPr>
              <w:spacing w:line="260" w:lineRule="auto"/>
            </w:pPr>
            <w:r>
              <w:rPr>
                <w:b/>
                <w:bCs/>
                <w:color w:val="000000"/>
                <w:sz w:val="19"/>
                <w:szCs w:val="19"/>
              </w:rPr>
              <w:t>P8</w:t>
            </w:r>
          </w:p>
        </w:tc>
        <w:tc>
          <w:tcPr>
            <w:tcW w:w="2978" w:type="dxa"/>
            <w:shd w:val="clear" w:color="auto" w:fill="F2F5FA"/>
            <w:tcMar>
              <w:top w:w="90" w:type="dxa"/>
              <w:left w:w="130" w:type="dxa"/>
              <w:bottom w:w="90" w:type="dxa"/>
              <w:right w:w="130" w:type="dxa"/>
            </w:tcMar>
            <w:vAlign w:val="center"/>
          </w:tcPr>
          <w:p w14:paraId="3350AF57" w14:textId="77777777" w:rsidR="003702EF" w:rsidRDefault="003702EF">
            <w:pPr>
              <w:spacing w:line="260" w:lineRule="auto"/>
            </w:pPr>
            <w:r>
              <w:rPr>
                <w:color w:val="000000"/>
                <w:sz w:val="19"/>
                <w:szCs w:val="19"/>
              </w:rPr>
              <w:t>Forecast at a coarser level</w:t>
            </w:r>
          </w:p>
        </w:tc>
        <w:tc>
          <w:tcPr>
            <w:tcW w:w="3001" w:type="dxa"/>
            <w:shd w:val="clear" w:color="auto" w:fill="F2F5FA"/>
            <w:tcMar>
              <w:top w:w="90" w:type="dxa"/>
              <w:left w:w="130" w:type="dxa"/>
              <w:bottom w:w="90" w:type="dxa"/>
              <w:right w:w="130" w:type="dxa"/>
            </w:tcMar>
            <w:vAlign w:val="center"/>
          </w:tcPr>
          <w:p w14:paraId="39637852" w14:textId="77777777" w:rsidR="003702EF" w:rsidRDefault="003702EF">
            <w:pPr>
              <w:spacing w:line="260" w:lineRule="auto"/>
            </w:pPr>
            <w:r>
              <w:rPr>
                <w:color w:val="000000"/>
                <w:sz w:val="19"/>
                <w:szCs w:val="19"/>
              </w:rPr>
              <w:t>Variant-level daily data is largely noise</w:t>
            </w:r>
          </w:p>
        </w:tc>
      </w:tr>
      <w:tr w:rsidR="003702EF" w14:paraId="10E2B219" w14:textId="77777777" w:rsidTr="003702EF">
        <w:tc>
          <w:tcPr>
            <w:tcW w:w="582" w:type="dxa"/>
            <w:tcMar>
              <w:top w:w="90" w:type="dxa"/>
              <w:left w:w="130" w:type="dxa"/>
              <w:bottom w:w="90" w:type="dxa"/>
              <w:right w:w="130" w:type="dxa"/>
            </w:tcMar>
            <w:vAlign w:val="center"/>
          </w:tcPr>
          <w:p w14:paraId="5C24E7FE" w14:textId="77777777" w:rsidR="003702EF" w:rsidRDefault="003702EF">
            <w:pPr>
              <w:spacing w:line="260" w:lineRule="auto"/>
            </w:pPr>
            <w:r>
              <w:rPr>
                <w:b/>
                <w:bCs/>
                <w:color w:val="000000"/>
                <w:sz w:val="19"/>
                <w:szCs w:val="19"/>
              </w:rPr>
              <w:t>P9</w:t>
            </w:r>
          </w:p>
        </w:tc>
        <w:tc>
          <w:tcPr>
            <w:tcW w:w="2978" w:type="dxa"/>
            <w:tcMar>
              <w:top w:w="90" w:type="dxa"/>
              <w:left w:w="130" w:type="dxa"/>
              <w:bottom w:w="90" w:type="dxa"/>
              <w:right w:w="130" w:type="dxa"/>
            </w:tcMar>
            <w:vAlign w:val="center"/>
          </w:tcPr>
          <w:p w14:paraId="0EE4DD35" w14:textId="77777777" w:rsidR="003702EF" w:rsidRDefault="003702EF">
            <w:pPr>
              <w:spacing w:line="260" w:lineRule="auto"/>
            </w:pPr>
            <w:r>
              <w:rPr>
                <w:color w:val="000000"/>
                <w:sz w:val="19"/>
                <w:szCs w:val="19"/>
              </w:rPr>
              <w:t>Switch to a count likelihood</w:t>
            </w:r>
          </w:p>
        </w:tc>
        <w:tc>
          <w:tcPr>
            <w:tcW w:w="3001" w:type="dxa"/>
            <w:tcMar>
              <w:top w:w="90" w:type="dxa"/>
              <w:left w:w="130" w:type="dxa"/>
              <w:bottom w:w="90" w:type="dxa"/>
              <w:right w:w="130" w:type="dxa"/>
            </w:tcMar>
            <w:vAlign w:val="center"/>
          </w:tcPr>
          <w:p w14:paraId="7D06FD3D" w14:textId="77777777" w:rsidR="003702EF" w:rsidRDefault="003702EF">
            <w:pPr>
              <w:spacing w:line="260" w:lineRule="auto"/>
            </w:pPr>
            <w:r>
              <w:rPr>
                <w:color w:val="000000"/>
                <w:sz w:val="19"/>
                <w:szCs w:val="19"/>
              </w:rPr>
              <w:t>Wrong distributional assumption</w:t>
            </w:r>
          </w:p>
        </w:tc>
      </w:tr>
    </w:tbl>
    <w:p w14:paraId="63D730A3" w14:textId="77777777" w:rsidR="00391E0D" w:rsidRDefault="00072DB8">
      <w:pPr>
        <w:spacing w:after="60" w:line="276" w:lineRule="auto"/>
      </w:pPr>
      <w:r>
        <w:rPr>
          <w:color w:val="000000"/>
        </w:rPr>
        <w:t>P1 to P4 are corrections to defects. P5 to P7 are improvements. P8 and P9 are structural changes that should only begin once P1 is in place, because until there is a trustworthy validation signal there is no reliable way to tell whether they helped.</w:t>
      </w:r>
    </w:p>
    <w:p w14:paraId="5171C8F6" w14:textId="77777777" w:rsidR="00391E0D" w:rsidRDefault="00072DB8">
      <w:r>
        <w:br w:type="page"/>
      </w:r>
    </w:p>
    <w:p w14:paraId="153766DA" w14:textId="77777777" w:rsidR="00391E0D" w:rsidRDefault="00072DB8">
      <w:pPr>
        <w:pStyle w:val="Heading1"/>
        <w:spacing w:before="360" w:after="160"/>
      </w:pPr>
      <w:r>
        <w:rPr>
          <w:b/>
          <w:bCs/>
          <w:color w:val="1F3864"/>
          <w:sz w:val="30"/>
          <w:szCs w:val="30"/>
        </w:rPr>
        <w:lastRenderedPageBreak/>
        <w:t>2. Priority 1 — Rebuild the Validation Split</w:t>
      </w:r>
    </w:p>
    <w:tbl>
      <w:tblPr>
        <w:tblW w:w="9360" w:type="dxa"/>
        <w:tblBorders>
          <w:top w:val="single" w:sz="2" w:space="0" w:color="F2F5FA"/>
          <w:left w:val="single" w:sz="18" w:space="0" w:color="1F3864"/>
          <w:bottom w:val="single" w:sz="2" w:space="0" w:color="F2F5FA"/>
          <w:right w:val="single" w:sz="2" w:space="0" w:color="F2F5FA"/>
        </w:tblBorders>
        <w:tblCellMar>
          <w:left w:w="10" w:type="dxa"/>
          <w:right w:w="10" w:type="dxa"/>
        </w:tblCellMar>
        <w:tblLook w:val="04A0" w:firstRow="1" w:lastRow="0" w:firstColumn="1" w:lastColumn="0" w:noHBand="0" w:noVBand="1"/>
      </w:tblPr>
      <w:tblGrid>
        <w:gridCol w:w="9360"/>
      </w:tblGrid>
      <w:tr w:rsidR="00391E0D" w14:paraId="570D2B9B" w14:textId="77777777">
        <w:tc>
          <w:tcPr>
            <w:tcW w:w="9360" w:type="dxa"/>
            <w:shd w:val="clear" w:color="auto" w:fill="F2F5FA"/>
            <w:tcMar>
              <w:top w:w="160" w:type="dxa"/>
              <w:left w:w="200" w:type="dxa"/>
              <w:bottom w:w="160" w:type="dxa"/>
              <w:right w:w="200" w:type="dxa"/>
            </w:tcMar>
          </w:tcPr>
          <w:p w14:paraId="097178BD" w14:textId="77777777" w:rsidR="00391E0D" w:rsidRDefault="00072DB8">
            <w:pPr>
              <w:spacing w:after="80"/>
            </w:pPr>
            <w:r>
              <w:rPr>
                <w:b/>
                <w:bCs/>
                <w:color w:val="1F3864"/>
              </w:rPr>
              <w:t>This priority has two parts, and they are not equally urgent</w:t>
            </w:r>
          </w:p>
          <w:p w14:paraId="61319F55" w14:textId="77777777" w:rsidR="00391E0D" w:rsidRDefault="00072DB8">
            <w:pPr>
              <w:spacing w:after="60" w:line="264" w:lineRule="auto"/>
            </w:pPr>
            <w:r>
              <w:rPr>
                <w:sz w:val="20"/>
                <w:szCs w:val="20"/>
              </w:rPr>
              <w:t>Must change — the validation window. It contains no festive days and overlaps the training period. This is the single largest defect identified.</w:t>
            </w:r>
          </w:p>
          <w:p w14:paraId="47BA7451" w14:textId="77777777" w:rsidR="00391E0D" w:rsidRDefault="00072DB8">
            <w:pPr>
              <w:spacing w:after="60" w:line="264" w:lineRule="auto"/>
            </w:pPr>
            <w:r>
              <w:rPr>
                <w:sz w:val="20"/>
                <w:szCs w:val="20"/>
              </w:rPr>
              <w:t>Optional — the training end date. Moving TRAIN_END past 30 Apr 2026 adds a fourth example of a pattern the model has already seen three times. The benefit is marginal, and leaving it unchanged keeps the change small enough to attribute cleanly.</w:t>
            </w:r>
          </w:p>
        </w:tc>
      </w:tr>
    </w:tbl>
    <w:p w14:paraId="2F4EAD88" w14:textId="77777777" w:rsidR="00391E0D" w:rsidRDefault="00072DB8">
      <w:pPr>
        <w:pStyle w:val="Heading2"/>
        <w:spacing w:before="260" w:after="120"/>
      </w:pPr>
      <w:r>
        <w:rPr>
          <w:b/>
          <w:bCs/>
          <w:sz w:val="25"/>
          <w:szCs w:val="25"/>
        </w:rPr>
        <w:t>2.1  What is wrong (must change)</w:t>
      </w:r>
    </w:p>
    <w:p w14:paraId="7863F42C" w14:textId="77777777" w:rsidR="00391E0D" w:rsidRDefault="00072DB8">
      <w:pPr>
        <w:spacing w:after="120" w:line="276" w:lineRule="auto"/>
      </w:pPr>
      <w:r>
        <w:rPr>
          <w:color w:val="000000"/>
        </w:rPr>
        <w:t>The current configuration is:</w:t>
      </w:r>
    </w:p>
    <w:tbl>
      <w:tblPr>
        <w:tblW w:w="936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60"/>
      </w:tblGrid>
      <w:tr w:rsidR="00391E0D" w14:paraId="0532F0FD" w14:textId="77777777">
        <w:tc>
          <w:tcPr>
            <w:tcW w:w="9360" w:type="dxa"/>
            <w:shd w:val="clear" w:color="auto" w:fill="F7F7F7"/>
            <w:tcMar>
              <w:top w:w="120" w:type="dxa"/>
              <w:left w:w="180" w:type="dxa"/>
              <w:bottom w:w="120" w:type="dxa"/>
              <w:right w:w="120" w:type="dxa"/>
            </w:tcMar>
          </w:tcPr>
          <w:p w14:paraId="2D9B3DE9" w14:textId="77777777" w:rsidR="00391E0D" w:rsidRDefault="00072DB8">
            <w:pPr>
              <w:spacing w:after="20"/>
            </w:pPr>
            <w:r>
              <w:rPr>
                <w:rFonts w:ascii="Consolas" w:eastAsia="Consolas" w:hAnsi="Consolas" w:cs="Consolas"/>
                <w:sz w:val="18"/>
                <w:szCs w:val="18"/>
              </w:rPr>
              <w:t>TRAIN_END = 2026-04-30</w:t>
            </w:r>
          </w:p>
          <w:p w14:paraId="37A2EC49" w14:textId="77777777" w:rsidR="00391E0D" w:rsidRDefault="00072DB8">
            <w:pPr>
              <w:spacing w:after="20"/>
            </w:pPr>
            <w:r>
              <w:rPr>
                <w:rFonts w:ascii="Consolas" w:eastAsia="Consolas" w:hAnsi="Consolas" w:cs="Consolas"/>
                <w:sz w:val="18"/>
                <w:szCs w:val="18"/>
              </w:rPr>
              <w:t>VAL_START = 2026-05-01     VAL_END = 2026-07-30</w:t>
            </w:r>
          </w:p>
          <w:p w14:paraId="004F81CB" w14:textId="77777777" w:rsidR="00391E0D" w:rsidRDefault="00072DB8">
            <w:pPr>
              <w:spacing w:after="20"/>
            </w:pPr>
            <w:r>
              <w:rPr>
                <w:rFonts w:ascii="Consolas" w:eastAsia="Consolas" w:hAnsi="Consolas" w:cs="Consolas"/>
                <w:sz w:val="18"/>
                <w:szCs w:val="18"/>
              </w:rPr>
              <w:t>INPUT_CHUNK_LENGTH = 365   OUTPUT_CHUNK_LENGTH = 184</w:t>
            </w:r>
          </w:p>
        </w:tc>
      </w:tr>
    </w:tbl>
    <w:p w14:paraId="0E53BBC8" w14:textId="77777777" w:rsidR="00391E0D" w:rsidRDefault="00072DB8">
      <w:pPr>
        <w:spacing w:after="120" w:line="276" w:lineRule="auto"/>
      </w:pPr>
      <w:r>
        <w:rPr>
          <w:color w:val="000000"/>
        </w:rPr>
        <w:t>Each validation series is padded backwards to exactly one usable sample, so the window the model is actually scored on — its output window — runs from 28 Jan 2026 to 30 Jul 2026. Two problems follow.</w:t>
      </w:r>
    </w:p>
    <w:p w14:paraId="3D57AD67" w14:textId="77777777" w:rsidR="00391E0D" w:rsidRDefault="00072DB8">
      <w:pPr>
        <w:pStyle w:val="Heading3"/>
        <w:spacing w:before="180" w:after="80"/>
      </w:pPr>
      <w:r>
        <w:rPr>
          <w:b/>
          <w:bCs/>
          <w:color w:val="1F3864"/>
          <w:sz w:val="22"/>
          <w:szCs w:val="22"/>
        </w:rPr>
        <w:t>Problem A — the scoring window contains no festive days</w:t>
      </w:r>
    </w:p>
    <w:p w14:paraId="67A40F7C" w14:textId="77777777" w:rsidR="00391E0D" w:rsidRDefault="00072DB8">
      <w:pPr>
        <w:spacing w:after="120" w:line="276" w:lineRule="auto"/>
      </w:pPr>
      <w:proofErr w:type="spellStart"/>
      <w:r>
        <w:rPr>
          <w:color w:val="000000"/>
        </w:rPr>
        <w:t>Pitru</w:t>
      </w:r>
      <w:proofErr w:type="spellEnd"/>
      <w:r>
        <w:rPr>
          <w:color w:val="000000"/>
        </w:rPr>
        <w:t xml:space="preserve"> </w:t>
      </w:r>
      <w:proofErr w:type="spellStart"/>
      <w:r>
        <w:rPr>
          <w:color w:val="000000"/>
        </w:rPr>
        <w:t>Paksha</w:t>
      </w:r>
      <w:proofErr w:type="spellEnd"/>
      <w:r>
        <w:rPr>
          <w:color w:val="000000"/>
        </w:rPr>
        <w:t xml:space="preserve">, Navratri, Dhanteras, Diwali, Bhai </w:t>
      </w:r>
      <w:proofErr w:type="spellStart"/>
      <w:r>
        <w:rPr>
          <w:color w:val="000000"/>
        </w:rPr>
        <w:t>Dooj</w:t>
      </w:r>
      <w:proofErr w:type="spellEnd"/>
      <w:r>
        <w:rPr>
          <w:color w:val="000000"/>
        </w:rPr>
        <w:t xml:space="preserve"> and </w:t>
      </w:r>
      <w:proofErr w:type="spellStart"/>
      <w:r>
        <w:rPr>
          <w:color w:val="000000"/>
        </w:rPr>
        <w:t>Chhath</w:t>
      </w:r>
      <w:proofErr w:type="spellEnd"/>
      <w:r>
        <w:rPr>
          <w:color w:val="000000"/>
        </w:rPr>
        <w:t xml:space="preserve"> all fall between September and December. None appear in the validation output window. Early stopping and checkpoint selection are therefore choosing the model that best predicts ordinary, low-variance summer trading.</w:t>
      </w:r>
    </w:p>
    <w:p w14:paraId="1BF30016" w14:textId="77777777" w:rsidR="00391E0D" w:rsidRDefault="00072DB8">
      <w:pPr>
        <w:spacing w:after="120" w:line="276" w:lineRule="auto"/>
      </w:pPr>
      <w:r>
        <w:rPr>
          <w:color w:val="000000"/>
        </w:rPr>
        <w:t>A model that flattens peaks scores well on flat months. We are selecting for precisely the behaviour we are trying to eliminate.</w:t>
      </w:r>
    </w:p>
    <w:p w14:paraId="5456FF04" w14:textId="77777777" w:rsidR="00391E0D" w:rsidRDefault="00072DB8">
      <w:pPr>
        <w:pStyle w:val="Heading3"/>
        <w:spacing w:before="180" w:after="80"/>
      </w:pPr>
      <w:r>
        <w:rPr>
          <w:b/>
          <w:bCs/>
          <w:color w:val="1F3864"/>
          <w:sz w:val="22"/>
          <w:szCs w:val="22"/>
        </w:rPr>
        <w:t>Problem B — half the scoring window is training data</w:t>
      </w:r>
    </w:p>
    <w:p w14:paraId="2882310B" w14:textId="77777777" w:rsidR="00391E0D" w:rsidRDefault="00072DB8">
      <w:pPr>
        <w:spacing w:after="120" w:line="276" w:lineRule="auto"/>
      </w:pPr>
      <w:r>
        <w:rPr>
          <w:color w:val="000000"/>
        </w:rPr>
        <w:t>Training ends 30 Apr 2026 but the validation output window begins 28 Jan 2026. Ninety-three of the 184 scored days are dates the model has already been fitted on. Roughly half the validation loss measures memorisation rather than generalisation.</w:t>
      </w:r>
    </w:p>
    <w:p w14:paraId="25A03EC0" w14:textId="77777777" w:rsidR="00391E0D" w:rsidRDefault="00072DB8">
      <w:pPr>
        <w:pStyle w:val="Heading2"/>
        <w:spacing w:before="260" w:after="120"/>
      </w:pPr>
      <w:r>
        <w:rPr>
          <w:b/>
          <w:bCs/>
          <w:sz w:val="25"/>
          <w:szCs w:val="25"/>
        </w:rPr>
        <w:t>2.2  The training end date (optional)</w:t>
      </w:r>
    </w:p>
    <w:p w14:paraId="0F9417BB" w14:textId="77777777" w:rsidR="00391E0D" w:rsidRDefault="00072DB8">
      <w:pPr>
        <w:spacing w:after="120" w:line="276" w:lineRule="auto"/>
      </w:pPr>
      <w:r>
        <w:rPr>
          <w:color w:val="000000"/>
        </w:rPr>
        <w:t>Validation data never updates model weights. Ending training on 30 Apr 2026 therefore means the months from May onward are the only months the model has never learned from — they serve solely as a measuring stick. That was not the intention behind the current setting.</w:t>
      </w:r>
    </w:p>
    <w:p w14:paraId="3F5F1B74" w14:textId="77777777" w:rsidR="00391E0D" w:rsidRDefault="00072DB8">
      <w:pPr>
        <w:spacing w:after="120" w:line="276" w:lineRule="auto"/>
      </w:pPr>
      <w:r>
        <w:rPr>
          <w:color w:val="000000"/>
        </w:rPr>
        <w:t>In practice the cost is small. The model already has three festive seasons in training, so it has seen the pattern "recent level rises, festive peak follows" three times. A fourth example adds little.</w:t>
      </w:r>
    </w:p>
    <w:p w14:paraId="3EAD05A9" w14:textId="77777777" w:rsidR="00391E0D" w:rsidRDefault="00072DB8">
      <w:pPr>
        <w:spacing w:after="120" w:line="276" w:lineRule="auto"/>
      </w:pPr>
      <w:r>
        <w:rPr>
          <w:color w:val="000000"/>
        </w:rPr>
        <w:t>The recent growth also reaches the 2026 forecast by a different route. Forecasting from 1 Sep 2026 with a 365-day lookback means the model reads Sep 2025 – Aug 2026 as input at prediction time. It sees the growth as it forecasts, regardless of what was in the training set.</w:t>
      </w:r>
    </w:p>
    <w:p w14:paraId="0EBEFA0A" w14:textId="77777777" w:rsidR="00391E0D" w:rsidRDefault="00072DB8">
      <w:pPr>
        <w:spacing w:after="120" w:line="276" w:lineRule="auto"/>
      </w:pPr>
      <w:r>
        <w:rPr>
          <w:color w:val="000000"/>
        </w:rPr>
        <w:t>The recommendation is therefore to leave TRAIN_END unchanged for now and alter only the validation window. This isolates the change, so any improvement can be attributed to it with confidence. Extending training through August can be tested separately afterwards.</w:t>
      </w:r>
    </w:p>
    <w:p w14:paraId="4F8B1CB6" w14:textId="77777777" w:rsidR="00391E0D" w:rsidRDefault="00072DB8">
      <w:pPr>
        <w:pStyle w:val="Heading2"/>
        <w:spacing w:before="260" w:after="120"/>
      </w:pPr>
      <w:r>
        <w:rPr>
          <w:b/>
          <w:bCs/>
          <w:sz w:val="25"/>
          <w:szCs w:val="25"/>
        </w:rPr>
        <w:t>2.3  What to change</w:t>
      </w:r>
    </w:p>
    <w:p w14:paraId="26D94C1C" w14:textId="77777777" w:rsidR="00391E0D" w:rsidRDefault="00072DB8">
      <w:pPr>
        <w:spacing w:after="120" w:line="276" w:lineRule="auto"/>
      </w:pPr>
      <w:r>
        <w:rPr>
          <w:color w:val="000000"/>
        </w:rPr>
        <w:lastRenderedPageBreak/>
        <w:t>What the model learns from is controlled by dates. Which checkpoint is selected is controlled by which series are scored. These are separate levers, and a global model lets us split along the series axis instead of the time axis.</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900"/>
        <w:gridCol w:w="3200"/>
        <w:gridCol w:w="4260"/>
      </w:tblGrid>
      <w:tr w:rsidR="00391E0D" w14:paraId="43AF7353" w14:textId="77777777">
        <w:trPr>
          <w:tblHeader/>
        </w:trPr>
        <w:tc>
          <w:tcPr>
            <w:tcW w:w="1900" w:type="dxa"/>
            <w:shd w:val="clear" w:color="auto" w:fill="1F3864"/>
            <w:tcMar>
              <w:top w:w="90" w:type="dxa"/>
              <w:left w:w="130" w:type="dxa"/>
              <w:bottom w:w="90" w:type="dxa"/>
              <w:right w:w="130" w:type="dxa"/>
            </w:tcMar>
            <w:vAlign w:val="center"/>
          </w:tcPr>
          <w:p w14:paraId="7949876A" w14:textId="77777777" w:rsidR="00391E0D" w:rsidRDefault="00391E0D">
            <w:pPr>
              <w:spacing w:line="260" w:lineRule="auto"/>
            </w:pPr>
          </w:p>
        </w:tc>
        <w:tc>
          <w:tcPr>
            <w:tcW w:w="3200" w:type="dxa"/>
            <w:shd w:val="clear" w:color="auto" w:fill="1F3864"/>
            <w:tcMar>
              <w:top w:w="90" w:type="dxa"/>
              <w:left w:w="130" w:type="dxa"/>
              <w:bottom w:w="90" w:type="dxa"/>
              <w:right w:w="130" w:type="dxa"/>
            </w:tcMar>
            <w:vAlign w:val="center"/>
          </w:tcPr>
          <w:p w14:paraId="14DCE505" w14:textId="77777777" w:rsidR="00391E0D" w:rsidRDefault="00072DB8">
            <w:pPr>
              <w:spacing w:line="260" w:lineRule="auto"/>
            </w:pPr>
            <w:r>
              <w:rPr>
                <w:b/>
                <w:bCs/>
                <w:color w:val="FFFFFF"/>
                <w:sz w:val="19"/>
                <w:szCs w:val="19"/>
              </w:rPr>
              <w:t>Current</w:t>
            </w:r>
          </w:p>
        </w:tc>
        <w:tc>
          <w:tcPr>
            <w:tcW w:w="4260" w:type="dxa"/>
            <w:shd w:val="clear" w:color="auto" w:fill="1F3864"/>
            <w:tcMar>
              <w:top w:w="90" w:type="dxa"/>
              <w:left w:w="130" w:type="dxa"/>
              <w:bottom w:w="90" w:type="dxa"/>
              <w:right w:w="130" w:type="dxa"/>
            </w:tcMar>
            <w:vAlign w:val="center"/>
          </w:tcPr>
          <w:p w14:paraId="794ABFDD" w14:textId="77777777" w:rsidR="00391E0D" w:rsidRDefault="00072DB8">
            <w:pPr>
              <w:spacing w:line="260" w:lineRule="auto"/>
            </w:pPr>
            <w:r>
              <w:rPr>
                <w:b/>
                <w:bCs/>
                <w:color w:val="FFFFFF"/>
                <w:sz w:val="19"/>
                <w:szCs w:val="19"/>
              </w:rPr>
              <w:t>Proposed</w:t>
            </w:r>
          </w:p>
        </w:tc>
      </w:tr>
      <w:tr w:rsidR="00391E0D" w14:paraId="47AFF06A" w14:textId="77777777">
        <w:tc>
          <w:tcPr>
            <w:tcW w:w="1900" w:type="dxa"/>
            <w:tcMar>
              <w:top w:w="90" w:type="dxa"/>
              <w:left w:w="130" w:type="dxa"/>
              <w:bottom w:w="90" w:type="dxa"/>
              <w:right w:w="130" w:type="dxa"/>
            </w:tcMar>
            <w:vAlign w:val="center"/>
          </w:tcPr>
          <w:p w14:paraId="3CE822AD" w14:textId="77777777" w:rsidR="00391E0D" w:rsidRDefault="00072DB8">
            <w:pPr>
              <w:spacing w:line="260" w:lineRule="auto"/>
            </w:pPr>
            <w:r>
              <w:rPr>
                <w:b/>
                <w:bCs/>
                <w:color w:val="000000"/>
                <w:sz w:val="19"/>
                <w:szCs w:val="19"/>
              </w:rPr>
              <w:t>Training data</w:t>
            </w:r>
          </w:p>
        </w:tc>
        <w:tc>
          <w:tcPr>
            <w:tcW w:w="3200" w:type="dxa"/>
            <w:tcMar>
              <w:top w:w="90" w:type="dxa"/>
              <w:left w:w="130" w:type="dxa"/>
              <w:bottom w:w="90" w:type="dxa"/>
              <w:right w:w="130" w:type="dxa"/>
            </w:tcMar>
            <w:vAlign w:val="center"/>
          </w:tcPr>
          <w:p w14:paraId="3087136D" w14:textId="77777777" w:rsidR="00391E0D" w:rsidRDefault="00072DB8">
            <w:pPr>
              <w:spacing w:line="260" w:lineRule="auto"/>
            </w:pPr>
            <w:r>
              <w:rPr>
                <w:color w:val="000000"/>
                <w:sz w:val="19"/>
                <w:szCs w:val="19"/>
              </w:rPr>
              <w:t>All series, up to 30 Apr 2026</w:t>
            </w:r>
          </w:p>
        </w:tc>
        <w:tc>
          <w:tcPr>
            <w:tcW w:w="4260" w:type="dxa"/>
            <w:tcMar>
              <w:top w:w="90" w:type="dxa"/>
              <w:left w:w="130" w:type="dxa"/>
              <w:bottom w:w="90" w:type="dxa"/>
              <w:right w:w="130" w:type="dxa"/>
            </w:tcMar>
            <w:vAlign w:val="center"/>
          </w:tcPr>
          <w:p w14:paraId="49010880" w14:textId="77777777" w:rsidR="00391E0D" w:rsidRDefault="00072DB8">
            <w:pPr>
              <w:spacing w:line="260" w:lineRule="auto"/>
            </w:pPr>
            <w:r>
              <w:rPr>
                <w:color w:val="000000"/>
                <w:sz w:val="19"/>
                <w:szCs w:val="19"/>
              </w:rPr>
              <w:t>85% of dealer × model-family groups, same date range</w:t>
            </w:r>
          </w:p>
        </w:tc>
      </w:tr>
      <w:tr w:rsidR="00391E0D" w14:paraId="55AB5E2B" w14:textId="77777777">
        <w:tc>
          <w:tcPr>
            <w:tcW w:w="1900" w:type="dxa"/>
            <w:shd w:val="clear" w:color="auto" w:fill="F2F5FA"/>
            <w:tcMar>
              <w:top w:w="90" w:type="dxa"/>
              <w:left w:w="130" w:type="dxa"/>
              <w:bottom w:w="90" w:type="dxa"/>
              <w:right w:w="130" w:type="dxa"/>
            </w:tcMar>
            <w:vAlign w:val="center"/>
          </w:tcPr>
          <w:p w14:paraId="43A6EB26" w14:textId="77777777" w:rsidR="00391E0D" w:rsidRDefault="00072DB8">
            <w:pPr>
              <w:spacing w:line="260" w:lineRule="auto"/>
            </w:pPr>
            <w:r>
              <w:rPr>
                <w:b/>
                <w:bCs/>
                <w:color w:val="000000"/>
                <w:sz w:val="19"/>
                <w:szCs w:val="19"/>
              </w:rPr>
              <w:t>Validation data</w:t>
            </w:r>
          </w:p>
        </w:tc>
        <w:tc>
          <w:tcPr>
            <w:tcW w:w="3200" w:type="dxa"/>
            <w:shd w:val="clear" w:color="auto" w:fill="F2F5FA"/>
            <w:tcMar>
              <w:top w:w="90" w:type="dxa"/>
              <w:left w:w="130" w:type="dxa"/>
              <w:bottom w:w="90" w:type="dxa"/>
              <w:right w:w="130" w:type="dxa"/>
            </w:tcMar>
            <w:vAlign w:val="center"/>
          </w:tcPr>
          <w:p w14:paraId="7597E612" w14:textId="77777777" w:rsidR="00391E0D" w:rsidRDefault="00072DB8">
            <w:pPr>
              <w:spacing w:line="260" w:lineRule="auto"/>
            </w:pPr>
            <w:r>
              <w:rPr>
                <w:color w:val="000000"/>
                <w:sz w:val="19"/>
                <w:szCs w:val="19"/>
              </w:rPr>
              <w:t>All series, 28 Jan – 30 Jul 2026</w:t>
            </w:r>
          </w:p>
        </w:tc>
        <w:tc>
          <w:tcPr>
            <w:tcW w:w="4260" w:type="dxa"/>
            <w:shd w:val="clear" w:color="auto" w:fill="F2F5FA"/>
            <w:tcMar>
              <w:top w:w="90" w:type="dxa"/>
              <w:left w:w="130" w:type="dxa"/>
              <w:bottom w:w="90" w:type="dxa"/>
              <w:right w:w="130" w:type="dxa"/>
            </w:tcMar>
            <w:vAlign w:val="center"/>
          </w:tcPr>
          <w:p w14:paraId="5F623580" w14:textId="77777777" w:rsidR="00391E0D" w:rsidRDefault="00072DB8">
            <w:pPr>
              <w:spacing w:line="260" w:lineRule="auto"/>
            </w:pPr>
            <w:r>
              <w:rPr>
                <w:color w:val="000000"/>
                <w:sz w:val="19"/>
                <w:szCs w:val="19"/>
              </w:rPr>
              <w:t>Held-out 15% of groups, output window 01 Sep – 10 Dec 2025</w:t>
            </w:r>
          </w:p>
        </w:tc>
      </w:tr>
      <w:tr w:rsidR="00391E0D" w14:paraId="2CB7104F" w14:textId="77777777">
        <w:tc>
          <w:tcPr>
            <w:tcW w:w="1900" w:type="dxa"/>
            <w:tcMar>
              <w:top w:w="90" w:type="dxa"/>
              <w:left w:w="130" w:type="dxa"/>
              <w:bottom w:w="90" w:type="dxa"/>
              <w:right w:w="130" w:type="dxa"/>
            </w:tcMar>
            <w:vAlign w:val="center"/>
          </w:tcPr>
          <w:p w14:paraId="2A487C54" w14:textId="77777777" w:rsidR="00391E0D" w:rsidRDefault="00072DB8">
            <w:pPr>
              <w:spacing w:line="260" w:lineRule="auto"/>
            </w:pPr>
            <w:r>
              <w:rPr>
                <w:b/>
                <w:bCs/>
                <w:color w:val="000000"/>
                <w:sz w:val="19"/>
                <w:szCs w:val="19"/>
              </w:rPr>
              <w:t>Festive days scored</w:t>
            </w:r>
          </w:p>
        </w:tc>
        <w:tc>
          <w:tcPr>
            <w:tcW w:w="3200" w:type="dxa"/>
            <w:tcMar>
              <w:top w:w="90" w:type="dxa"/>
              <w:left w:w="130" w:type="dxa"/>
              <w:bottom w:w="90" w:type="dxa"/>
              <w:right w:w="130" w:type="dxa"/>
            </w:tcMar>
            <w:vAlign w:val="center"/>
          </w:tcPr>
          <w:p w14:paraId="39D65ACA" w14:textId="77777777" w:rsidR="00391E0D" w:rsidRDefault="00072DB8">
            <w:pPr>
              <w:spacing w:line="260" w:lineRule="auto"/>
            </w:pPr>
            <w:r>
              <w:rPr>
                <w:color w:val="000000"/>
                <w:sz w:val="19"/>
                <w:szCs w:val="19"/>
              </w:rPr>
              <w:t>Zero</w:t>
            </w:r>
          </w:p>
        </w:tc>
        <w:tc>
          <w:tcPr>
            <w:tcW w:w="4260" w:type="dxa"/>
            <w:tcMar>
              <w:top w:w="90" w:type="dxa"/>
              <w:left w:w="130" w:type="dxa"/>
              <w:bottom w:w="90" w:type="dxa"/>
              <w:right w:w="130" w:type="dxa"/>
            </w:tcMar>
            <w:vAlign w:val="center"/>
          </w:tcPr>
          <w:p w14:paraId="6F65BAAA" w14:textId="77777777" w:rsidR="00391E0D" w:rsidRDefault="00072DB8">
            <w:pPr>
              <w:spacing w:line="260" w:lineRule="auto"/>
            </w:pPr>
            <w:r>
              <w:rPr>
                <w:color w:val="000000"/>
                <w:sz w:val="19"/>
                <w:szCs w:val="19"/>
              </w:rPr>
              <w:t xml:space="preserve">Full festive arc, </w:t>
            </w:r>
            <w:proofErr w:type="spellStart"/>
            <w:r>
              <w:rPr>
                <w:color w:val="000000"/>
                <w:sz w:val="19"/>
                <w:szCs w:val="19"/>
              </w:rPr>
              <w:t>Pitru</w:t>
            </w:r>
            <w:proofErr w:type="spellEnd"/>
            <w:r>
              <w:rPr>
                <w:color w:val="000000"/>
                <w:sz w:val="19"/>
                <w:szCs w:val="19"/>
              </w:rPr>
              <w:t xml:space="preserve"> </w:t>
            </w:r>
            <w:proofErr w:type="spellStart"/>
            <w:r>
              <w:rPr>
                <w:color w:val="000000"/>
                <w:sz w:val="19"/>
                <w:szCs w:val="19"/>
              </w:rPr>
              <w:t>Paksha</w:t>
            </w:r>
            <w:proofErr w:type="spellEnd"/>
            <w:r>
              <w:rPr>
                <w:color w:val="000000"/>
                <w:sz w:val="19"/>
                <w:szCs w:val="19"/>
              </w:rPr>
              <w:t xml:space="preserve"> through </w:t>
            </w:r>
            <w:proofErr w:type="spellStart"/>
            <w:r>
              <w:rPr>
                <w:color w:val="000000"/>
                <w:sz w:val="19"/>
                <w:szCs w:val="19"/>
              </w:rPr>
              <w:t>Chhath</w:t>
            </w:r>
            <w:proofErr w:type="spellEnd"/>
          </w:p>
        </w:tc>
      </w:tr>
      <w:tr w:rsidR="00391E0D" w14:paraId="55122823" w14:textId="77777777">
        <w:tc>
          <w:tcPr>
            <w:tcW w:w="1900" w:type="dxa"/>
            <w:shd w:val="clear" w:color="auto" w:fill="F2F5FA"/>
            <w:tcMar>
              <w:top w:w="90" w:type="dxa"/>
              <w:left w:w="130" w:type="dxa"/>
              <w:bottom w:w="90" w:type="dxa"/>
              <w:right w:w="130" w:type="dxa"/>
            </w:tcMar>
            <w:vAlign w:val="center"/>
          </w:tcPr>
          <w:p w14:paraId="05F9669E" w14:textId="77777777" w:rsidR="00391E0D" w:rsidRDefault="00072DB8">
            <w:pPr>
              <w:spacing w:line="260" w:lineRule="auto"/>
            </w:pPr>
            <w:r>
              <w:rPr>
                <w:b/>
                <w:bCs/>
                <w:color w:val="000000"/>
                <w:sz w:val="19"/>
                <w:szCs w:val="19"/>
              </w:rPr>
              <w:t>Overlap with training</w:t>
            </w:r>
          </w:p>
        </w:tc>
        <w:tc>
          <w:tcPr>
            <w:tcW w:w="3200" w:type="dxa"/>
            <w:shd w:val="clear" w:color="auto" w:fill="F2F5FA"/>
            <w:tcMar>
              <w:top w:w="90" w:type="dxa"/>
              <w:left w:w="130" w:type="dxa"/>
              <w:bottom w:w="90" w:type="dxa"/>
              <w:right w:w="130" w:type="dxa"/>
            </w:tcMar>
            <w:vAlign w:val="center"/>
          </w:tcPr>
          <w:p w14:paraId="4BE26C8D" w14:textId="77777777" w:rsidR="00391E0D" w:rsidRDefault="00072DB8">
            <w:pPr>
              <w:spacing w:line="260" w:lineRule="auto"/>
            </w:pPr>
            <w:r>
              <w:rPr>
                <w:color w:val="000000"/>
                <w:sz w:val="19"/>
                <w:szCs w:val="19"/>
              </w:rPr>
              <w:t>93 of 184 days</w:t>
            </w:r>
          </w:p>
        </w:tc>
        <w:tc>
          <w:tcPr>
            <w:tcW w:w="4260" w:type="dxa"/>
            <w:shd w:val="clear" w:color="auto" w:fill="F2F5FA"/>
            <w:tcMar>
              <w:top w:w="90" w:type="dxa"/>
              <w:left w:w="130" w:type="dxa"/>
              <w:bottom w:w="90" w:type="dxa"/>
              <w:right w:w="130" w:type="dxa"/>
            </w:tcMar>
            <w:vAlign w:val="center"/>
          </w:tcPr>
          <w:p w14:paraId="486B3D0E" w14:textId="77777777" w:rsidR="00391E0D" w:rsidRDefault="00072DB8">
            <w:pPr>
              <w:spacing w:line="260" w:lineRule="auto"/>
            </w:pPr>
            <w:r>
              <w:rPr>
                <w:color w:val="000000"/>
                <w:sz w:val="19"/>
                <w:szCs w:val="19"/>
              </w:rPr>
              <w:t>None — held-out groups are never trained on</w:t>
            </w:r>
          </w:p>
        </w:tc>
      </w:tr>
    </w:tbl>
    <w:p w14:paraId="349AAFB1" w14:textId="77777777" w:rsidR="00391E0D" w:rsidRDefault="00072DB8">
      <w:r>
        <w:br w:type="page"/>
      </w:r>
    </w:p>
    <w:p w14:paraId="2D52DF23" w14:textId="77777777" w:rsidR="00391E0D" w:rsidRDefault="00072DB8">
      <w:pPr>
        <w:pStyle w:val="Heading2"/>
        <w:spacing w:before="260" w:after="120"/>
      </w:pPr>
      <w:r>
        <w:rPr>
          <w:b/>
          <w:bCs/>
          <w:sz w:val="25"/>
          <w:szCs w:val="25"/>
        </w:rPr>
        <w:lastRenderedPageBreak/>
        <w:t>2.4  How the 85 / 15 split works</w:t>
      </w:r>
    </w:p>
    <w:p w14:paraId="5F470047" w14:textId="77777777" w:rsidR="00391E0D" w:rsidRDefault="00072DB8">
      <w:pPr>
        <w:spacing w:after="120" w:line="276" w:lineRule="auto"/>
      </w:pPr>
      <w:r>
        <w:rPr>
          <w:color w:val="000000"/>
        </w:rPr>
        <w:t>The idea is simple: hold back a slice of the data, train on the rest, and use the held-back slice to decide which version of the model is best. Two decisions make the difference between a useful hold-out and a misleading one — what we hold back, and how we choose it.</w:t>
      </w:r>
    </w:p>
    <w:p w14:paraId="41E29755" w14:textId="77777777" w:rsidR="00391E0D" w:rsidRDefault="00072DB8">
      <w:pPr>
        <w:pStyle w:val="Heading3"/>
        <w:spacing w:before="180" w:after="80"/>
      </w:pPr>
      <w:r>
        <w:rPr>
          <w:b/>
          <w:bCs/>
          <w:color w:val="1F3864"/>
          <w:sz w:val="22"/>
          <w:szCs w:val="22"/>
        </w:rPr>
        <w:t>Step 1 — Group the series before splitting</w:t>
      </w:r>
    </w:p>
    <w:p w14:paraId="2CD4752B" w14:textId="77777777" w:rsidR="00391E0D" w:rsidRDefault="00072DB8">
      <w:pPr>
        <w:spacing w:after="120" w:line="276" w:lineRule="auto"/>
      </w:pPr>
      <w:r>
        <w:rPr>
          <w:color w:val="000000"/>
        </w:rPr>
        <w:t>A series is one dealer, one model family, one variant. So a single dealer selling one family has several near-identical series: red drum-brake, red disc-brake, black drum-brake, and so on. They rise and fall together and spike on the same days.</w:t>
      </w:r>
    </w:p>
    <w:p w14:paraId="6D9FAB90" w14:textId="77777777" w:rsidR="00391E0D" w:rsidRDefault="00072DB8">
      <w:pPr>
        <w:spacing w:after="120" w:line="276" w:lineRule="auto"/>
      </w:pPr>
      <w:r>
        <w:rPr>
          <w:color w:val="000000"/>
        </w:rPr>
        <w:t>If we split those individually, one colour could land in training and another in validation. The model would effectively memorise the first and score well on the second. Validation loss would keep falling, early stopping would never trigger, and we would pick a poor version of the model while the number on screen looked healthy.</w:t>
      </w:r>
    </w:p>
    <w:p w14:paraId="2185B551" w14:textId="77777777" w:rsidR="00391E0D" w:rsidRDefault="00072DB8">
      <w:pPr>
        <w:spacing w:after="120" w:line="276" w:lineRule="auto"/>
      </w:pPr>
      <w:r>
        <w:rPr>
          <w:color w:val="000000"/>
        </w:rPr>
        <w:t>So we group first. Everything belonging to the same dealer and model family moves together as one block.</w:t>
      </w:r>
    </w:p>
    <w:p w14:paraId="21899D99" w14:textId="77777777" w:rsidR="00391E0D" w:rsidRDefault="00072DB8">
      <w:pPr>
        <w:pStyle w:val="Heading3"/>
        <w:spacing w:before="180" w:after="80"/>
      </w:pPr>
      <w:r>
        <w:rPr>
          <w:b/>
          <w:bCs/>
          <w:color w:val="1F3864"/>
          <w:sz w:val="22"/>
          <w:szCs w:val="22"/>
        </w:rPr>
        <w:t>Step 2 — Worked example: one dealer</w:t>
      </w:r>
    </w:p>
    <w:p w14:paraId="376FC0C3" w14:textId="77777777" w:rsidR="00391E0D" w:rsidRDefault="00072DB8">
      <w:pPr>
        <w:spacing w:after="120" w:line="276" w:lineRule="auto"/>
      </w:pPr>
      <w:r>
        <w:rPr>
          <w:color w:val="000000"/>
        </w:rPr>
        <w:t>Take dealer D4102, which sells three model families. Its ten series group into three blocks:</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400"/>
        <w:gridCol w:w="5460"/>
        <w:gridCol w:w="1500"/>
      </w:tblGrid>
      <w:tr w:rsidR="00391E0D" w14:paraId="59A916D3" w14:textId="77777777">
        <w:trPr>
          <w:tblHeader/>
        </w:trPr>
        <w:tc>
          <w:tcPr>
            <w:tcW w:w="2400" w:type="dxa"/>
            <w:shd w:val="clear" w:color="auto" w:fill="1F3864"/>
            <w:tcMar>
              <w:top w:w="90" w:type="dxa"/>
              <w:left w:w="130" w:type="dxa"/>
              <w:bottom w:w="90" w:type="dxa"/>
              <w:right w:w="130" w:type="dxa"/>
            </w:tcMar>
            <w:vAlign w:val="center"/>
          </w:tcPr>
          <w:p w14:paraId="5542CBEF" w14:textId="77777777" w:rsidR="00391E0D" w:rsidRDefault="00072DB8">
            <w:pPr>
              <w:spacing w:line="260" w:lineRule="auto"/>
            </w:pPr>
            <w:r>
              <w:rPr>
                <w:b/>
                <w:bCs/>
                <w:color w:val="FFFFFF"/>
                <w:sz w:val="19"/>
                <w:szCs w:val="19"/>
              </w:rPr>
              <w:t>Group</w:t>
            </w:r>
          </w:p>
        </w:tc>
        <w:tc>
          <w:tcPr>
            <w:tcW w:w="5460" w:type="dxa"/>
            <w:shd w:val="clear" w:color="auto" w:fill="1F3864"/>
            <w:tcMar>
              <w:top w:w="90" w:type="dxa"/>
              <w:left w:w="130" w:type="dxa"/>
              <w:bottom w:w="90" w:type="dxa"/>
              <w:right w:w="130" w:type="dxa"/>
            </w:tcMar>
            <w:vAlign w:val="center"/>
          </w:tcPr>
          <w:p w14:paraId="7E967A85" w14:textId="77777777" w:rsidR="00391E0D" w:rsidRDefault="00072DB8">
            <w:pPr>
              <w:spacing w:line="260" w:lineRule="auto"/>
            </w:pPr>
            <w:r>
              <w:rPr>
                <w:b/>
                <w:bCs/>
                <w:color w:val="FFFFFF"/>
                <w:sz w:val="19"/>
                <w:szCs w:val="19"/>
              </w:rPr>
              <w:t>Series inside it</w:t>
            </w:r>
          </w:p>
        </w:tc>
        <w:tc>
          <w:tcPr>
            <w:tcW w:w="1500" w:type="dxa"/>
            <w:shd w:val="clear" w:color="auto" w:fill="1F3864"/>
            <w:tcMar>
              <w:top w:w="90" w:type="dxa"/>
              <w:left w:w="130" w:type="dxa"/>
              <w:bottom w:w="90" w:type="dxa"/>
              <w:right w:w="130" w:type="dxa"/>
            </w:tcMar>
            <w:vAlign w:val="center"/>
          </w:tcPr>
          <w:p w14:paraId="6DE73354" w14:textId="77777777" w:rsidR="00391E0D" w:rsidRDefault="00072DB8">
            <w:pPr>
              <w:spacing w:line="260" w:lineRule="auto"/>
            </w:pPr>
            <w:r>
              <w:rPr>
                <w:b/>
                <w:bCs/>
                <w:color w:val="FFFFFF"/>
                <w:sz w:val="19"/>
                <w:szCs w:val="19"/>
              </w:rPr>
              <w:t>Count</w:t>
            </w:r>
          </w:p>
        </w:tc>
      </w:tr>
      <w:tr w:rsidR="00391E0D" w14:paraId="52D9842C" w14:textId="77777777">
        <w:tc>
          <w:tcPr>
            <w:tcW w:w="2400" w:type="dxa"/>
            <w:tcMar>
              <w:top w:w="90" w:type="dxa"/>
              <w:left w:w="130" w:type="dxa"/>
              <w:bottom w:w="90" w:type="dxa"/>
              <w:right w:w="130" w:type="dxa"/>
            </w:tcMar>
            <w:vAlign w:val="center"/>
          </w:tcPr>
          <w:p w14:paraId="46DD797D" w14:textId="11F80022" w:rsidR="00391E0D" w:rsidRDefault="00072DB8">
            <w:pPr>
              <w:spacing w:line="260" w:lineRule="auto"/>
            </w:pPr>
            <w:r>
              <w:rPr>
                <w:b/>
                <w:bCs/>
                <w:color w:val="000000"/>
                <w:sz w:val="19"/>
                <w:szCs w:val="19"/>
              </w:rPr>
              <w:t xml:space="preserve">D4102 &lt;&gt; </w:t>
            </w:r>
            <w:r w:rsidR="000C245A">
              <w:rPr>
                <w:b/>
                <w:bCs/>
                <w:color w:val="000000"/>
                <w:sz w:val="19"/>
                <w:szCs w:val="19"/>
              </w:rPr>
              <w:t>SPLENDOR</w:t>
            </w:r>
          </w:p>
        </w:tc>
        <w:tc>
          <w:tcPr>
            <w:tcW w:w="5460" w:type="dxa"/>
            <w:tcMar>
              <w:top w:w="90" w:type="dxa"/>
              <w:left w:w="130" w:type="dxa"/>
              <w:bottom w:w="90" w:type="dxa"/>
              <w:right w:w="130" w:type="dxa"/>
            </w:tcMar>
            <w:vAlign w:val="center"/>
          </w:tcPr>
          <w:p w14:paraId="398A8C46" w14:textId="77777777" w:rsidR="00391E0D" w:rsidRDefault="00072DB8">
            <w:pPr>
              <w:spacing w:line="260" w:lineRule="auto"/>
            </w:pPr>
            <w:r>
              <w:rPr>
                <w:color w:val="000000"/>
                <w:sz w:val="19"/>
                <w:szCs w:val="19"/>
              </w:rPr>
              <w:t>red-drum, red-disc, black-drum, black-disc, grey-disc</w:t>
            </w:r>
          </w:p>
        </w:tc>
        <w:tc>
          <w:tcPr>
            <w:tcW w:w="1500" w:type="dxa"/>
            <w:tcMar>
              <w:top w:w="90" w:type="dxa"/>
              <w:left w:w="130" w:type="dxa"/>
              <w:bottom w:w="90" w:type="dxa"/>
              <w:right w:w="130" w:type="dxa"/>
            </w:tcMar>
            <w:vAlign w:val="center"/>
          </w:tcPr>
          <w:p w14:paraId="1334276F" w14:textId="77777777" w:rsidR="00391E0D" w:rsidRDefault="00072DB8">
            <w:pPr>
              <w:spacing w:line="260" w:lineRule="auto"/>
            </w:pPr>
            <w:r>
              <w:rPr>
                <w:color w:val="000000"/>
                <w:sz w:val="19"/>
                <w:szCs w:val="19"/>
              </w:rPr>
              <w:t>5</w:t>
            </w:r>
          </w:p>
        </w:tc>
      </w:tr>
      <w:tr w:rsidR="00391E0D" w14:paraId="29248C7C" w14:textId="77777777">
        <w:tc>
          <w:tcPr>
            <w:tcW w:w="2400" w:type="dxa"/>
            <w:shd w:val="clear" w:color="auto" w:fill="F2F5FA"/>
            <w:tcMar>
              <w:top w:w="90" w:type="dxa"/>
              <w:left w:w="130" w:type="dxa"/>
              <w:bottom w:w="90" w:type="dxa"/>
              <w:right w:w="130" w:type="dxa"/>
            </w:tcMar>
            <w:vAlign w:val="center"/>
          </w:tcPr>
          <w:p w14:paraId="7DB06452" w14:textId="76EB2E04" w:rsidR="00391E0D" w:rsidRDefault="00072DB8">
            <w:pPr>
              <w:spacing w:line="260" w:lineRule="auto"/>
            </w:pPr>
            <w:r>
              <w:rPr>
                <w:b/>
                <w:bCs/>
                <w:color w:val="000000"/>
                <w:sz w:val="19"/>
                <w:szCs w:val="19"/>
              </w:rPr>
              <w:t xml:space="preserve">D4102 &lt;&gt; </w:t>
            </w:r>
            <w:r w:rsidR="000C245A">
              <w:rPr>
                <w:b/>
                <w:bCs/>
                <w:color w:val="000000"/>
                <w:sz w:val="19"/>
                <w:szCs w:val="19"/>
              </w:rPr>
              <w:t>DESTINI</w:t>
            </w:r>
          </w:p>
        </w:tc>
        <w:tc>
          <w:tcPr>
            <w:tcW w:w="5460" w:type="dxa"/>
            <w:shd w:val="clear" w:color="auto" w:fill="F2F5FA"/>
            <w:tcMar>
              <w:top w:w="90" w:type="dxa"/>
              <w:left w:w="130" w:type="dxa"/>
              <w:bottom w:w="90" w:type="dxa"/>
              <w:right w:w="130" w:type="dxa"/>
            </w:tcMar>
            <w:vAlign w:val="center"/>
          </w:tcPr>
          <w:p w14:paraId="7305A3E8" w14:textId="77777777" w:rsidR="00391E0D" w:rsidRDefault="00072DB8">
            <w:pPr>
              <w:spacing w:line="260" w:lineRule="auto"/>
            </w:pPr>
            <w:r>
              <w:rPr>
                <w:color w:val="000000"/>
                <w:sz w:val="19"/>
                <w:szCs w:val="19"/>
              </w:rPr>
              <w:t>blue-drum, white-drum, white-disc</w:t>
            </w:r>
          </w:p>
        </w:tc>
        <w:tc>
          <w:tcPr>
            <w:tcW w:w="1500" w:type="dxa"/>
            <w:shd w:val="clear" w:color="auto" w:fill="F2F5FA"/>
            <w:tcMar>
              <w:top w:w="90" w:type="dxa"/>
              <w:left w:w="130" w:type="dxa"/>
              <w:bottom w:w="90" w:type="dxa"/>
              <w:right w:w="130" w:type="dxa"/>
            </w:tcMar>
            <w:vAlign w:val="center"/>
          </w:tcPr>
          <w:p w14:paraId="3A6E00E1" w14:textId="77777777" w:rsidR="00391E0D" w:rsidRDefault="00072DB8">
            <w:pPr>
              <w:spacing w:line="260" w:lineRule="auto"/>
            </w:pPr>
            <w:r>
              <w:rPr>
                <w:color w:val="000000"/>
                <w:sz w:val="19"/>
                <w:szCs w:val="19"/>
              </w:rPr>
              <w:t>3</w:t>
            </w:r>
          </w:p>
        </w:tc>
      </w:tr>
      <w:tr w:rsidR="00391E0D" w14:paraId="078B5F4F" w14:textId="77777777">
        <w:tc>
          <w:tcPr>
            <w:tcW w:w="2400" w:type="dxa"/>
            <w:tcMar>
              <w:top w:w="90" w:type="dxa"/>
              <w:left w:w="130" w:type="dxa"/>
              <w:bottom w:w="90" w:type="dxa"/>
              <w:right w:w="130" w:type="dxa"/>
            </w:tcMar>
            <w:vAlign w:val="center"/>
          </w:tcPr>
          <w:p w14:paraId="7A2E353A" w14:textId="00447BDA" w:rsidR="00391E0D" w:rsidRDefault="00072DB8">
            <w:pPr>
              <w:spacing w:line="260" w:lineRule="auto"/>
            </w:pPr>
            <w:r>
              <w:rPr>
                <w:b/>
                <w:bCs/>
                <w:color w:val="000000"/>
                <w:sz w:val="19"/>
                <w:szCs w:val="19"/>
              </w:rPr>
              <w:t xml:space="preserve">D4102 &lt;&gt; </w:t>
            </w:r>
            <w:r w:rsidR="000C245A">
              <w:rPr>
                <w:b/>
                <w:bCs/>
                <w:color w:val="000000"/>
                <w:sz w:val="19"/>
                <w:szCs w:val="19"/>
              </w:rPr>
              <w:t>GLAMOUR</w:t>
            </w:r>
          </w:p>
        </w:tc>
        <w:tc>
          <w:tcPr>
            <w:tcW w:w="5460" w:type="dxa"/>
            <w:tcMar>
              <w:top w:w="90" w:type="dxa"/>
              <w:left w:w="130" w:type="dxa"/>
              <w:bottom w:w="90" w:type="dxa"/>
              <w:right w:w="130" w:type="dxa"/>
            </w:tcMar>
            <w:vAlign w:val="center"/>
          </w:tcPr>
          <w:p w14:paraId="59BCFD83" w14:textId="77777777" w:rsidR="00391E0D" w:rsidRDefault="00072DB8">
            <w:pPr>
              <w:spacing w:line="260" w:lineRule="auto"/>
            </w:pPr>
            <w:r>
              <w:rPr>
                <w:color w:val="000000"/>
                <w:sz w:val="19"/>
                <w:szCs w:val="19"/>
              </w:rPr>
              <w:t>red-disc, black-disc</w:t>
            </w:r>
          </w:p>
        </w:tc>
        <w:tc>
          <w:tcPr>
            <w:tcW w:w="1500" w:type="dxa"/>
            <w:tcMar>
              <w:top w:w="90" w:type="dxa"/>
              <w:left w:w="130" w:type="dxa"/>
              <w:bottom w:w="90" w:type="dxa"/>
              <w:right w:w="130" w:type="dxa"/>
            </w:tcMar>
            <w:vAlign w:val="center"/>
          </w:tcPr>
          <w:p w14:paraId="425665C7" w14:textId="77777777" w:rsidR="00391E0D" w:rsidRDefault="00072DB8">
            <w:pPr>
              <w:spacing w:line="260" w:lineRule="auto"/>
            </w:pPr>
            <w:r>
              <w:rPr>
                <w:color w:val="000000"/>
                <w:sz w:val="19"/>
                <w:szCs w:val="19"/>
              </w:rPr>
              <w:t>2</w:t>
            </w:r>
          </w:p>
        </w:tc>
      </w:tr>
    </w:tbl>
    <w:p w14:paraId="08D40F47" w14:textId="77777777" w:rsidR="00391E0D" w:rsidRDefault="00072DB8">
      <w:pPr>
        <w:spacing w:after="120" w:line="276" w:lineRule="auto"/>
      </w:pPr>
      <w:r>
        <w:rPr>
          <w:color w:val="000000"/>
        </w:rPr>
        <w:t>Three groups, not ten series. The group is what gets assigned to training or validation.</w:t>
      </w:r>
    </w:p>
    <w:p w14:paraId="4A5AC566" w14:textId="77777777" w:rsidR="00391E0D" w:rsidRDefault="00072DB8">
      <w:pPr>
        <w:pStyle w:val="Heading3"/>
        <w:spacing w:before="180" w:after="80"/>
      </w:pPr>
      <w:r>
        <w:rPr>
          <w:b/>
          <w:bCs/>
          <w:color w:val="1F3864"/>
          <w:sz w:val="22"/>
          <w:szCs w:val="22"/>
        </w:rPr>
        <w:t>Step 3 — Sort every group by size</w:t>
      </w:r>
    </w:p>
    <w:p w14:paraId="1753B326" w14:textId="77777777" w:rsidR="00391E0D" w:rsidRDefault="00072DB8">
      <w:pPr>
        <w:spacing w:after="120" w:line="276" w:lineRule="auto"/>
      </w:pPr>
      <w:r>
        <w:rPr>
          <w:color w:val="000000"/>
        </w:rPr>
        <w:t>Sales volume is very unevenly spread. A few groups sell a great deal; most sell very little. If we picked the 15% at random, we would end up with a validation set made almost entirely of tiny groups — and then the score would be measuring how well the model predicts almost nothing.</w:t>
      </w:r>
    </w:p>
    <w:p w14:paraId="010C6B29" w14:textId="77777777" w:rsidR="00391E0D" w:rsidRDefault="00072DB8">
      <w:pPr>
        <w:spacing w:after="120" w:line="276" w:lineRule="auto"/>
      </w:pPr>
      <w:r>
        <w:rPr>
          <w:color w:val="000000"/>
        </w:rPr>
        <w:t>To avoid that, all groups are ranked by their September-to-December sales history and cut into ten equal-sized buckets, from smallest to largest. These buckets are called deciles. The table below shows the shape on a representative distribution of 40,000 groups:</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8"/>
        <w:gridCol w:w="1480"/>
        <w:gridCol w:w="2994"/>
        <w:gridCol w:w="2425"/>
        <w:gridCol w:w="2425"/>
        <w:gridCol w:w="18"/>
      </w:tblGrid>
      <w:tr w:rsidR="00391E0D" w14:paraId="0068716A" w14:textId="77777777">
        <w:trPr>
          <w:gridAfter w:val="1"/>
          <w:wAfter w:w="18" w:type="dxa"/>
          <w:tblHeader/>
        </w:trPr>
        <w:tc>
          <w:tcPr>
            <w:tcW w:w="1500" w:type="dxa"/>
            <w:gridSpan w:val="2"/>
            <w:shd w:val="clear" w:color="auto" w:fill="1F3864"/>
            <w:tcMar>
              <w:top w:w="90" w:type="dxa"/>
              <w:left w:w="130" w:type="dxa"/>
              <w:bottom w:w="90" w:type="dxa"/>
              <w:right w:w="130" w:type="dxa"/>
            </w:tcMar>
            <w:vAlign w:val="center"/>
          </w:tcPr>
          <w:p w14:paraId="5477B9C4" w14:textId="77777777" w:rsidR="00391E0D" w:rsidRDefault="00072DB8">
            <w:pPr>
              <w:spacing w:line="260" w:lineRule="auto"/>
            </w:pPr>
            <w:r>
              <w:rPr>
                <w:b/>
                <w:bCs/>
                <w:color w:val="FFFFFF"/>
                <w:sz w:val="19"/>
                <w:szCs w:val="19"/>
              </w:rPr>
              <w:t>Bucket</w:t>
            </w:r>
          </w:p>
        </w:tc>
        <w:tc>
          <w:tcPr>
            <w:tcW w:w="3000" w:type="dxa"/>
            <w:shd w:val="clear" w:color="auto" w:fill="1F3864"/>
            <w:tcMar>
              <w:top w:w="90" w:type="dxa"/>
              <w:left w:w="130" w:type="dxa"/>
              <w:bottom w:w="90" w:type="dxa"/>
              <w:right w:w="130" w:type="dxa"/>
            </w:tcMar>
            <w:vAlign w:val="center"/>
          </w:tcPr>
          <w:p w14:paraId="101E850D" w14:textId="77777777" w:rsidR="00391E0D" w:rsidRDefault="00072DB8">
            <w:pPr>
              <w:spacing w:line="260" w:lineRule="auto"/>
            </w:pPr>
            <w:r>
              <w:rPr>
                <w:b/>
                <w:bCs/>
                <w:color w:val="FFFFFF"/>
                <w:sz w:val="19"/>
                <w:szCs w:val="19"/>
              </w:rPr>
              <w:t>Sales volume range</w:t>
            </w:r>
          </w:p>
        </w:tc>
        <w:tc>
          <w:tcPr>
            <w:tcW w:w="2430" w:type="dxa"/>
            <w:shd w:val="clear" w:color="auto" w:fill="1F3864"/>
            <w:tcMar>
              <w:top w:w="90" w:type="dxa"/>
              <w:left w:w="130" w:type="dxa"/>
              <w:bottom w:w="90" w:type="dxa"/>
              <w:right w:w="130" w:type="dxa"/>
            </w:tcMar>
            <w:vAlign w:val="center"/>
          </w:tcPr>
          <w:p w14:paraId="7DE2F16D" w14:textId="77777777" w:rsidR="00391E0D" w:rsidRDefault="00072DB8">
            <w:pPr>
              <w:spacing w:line="260" w:lineRule="auto"/>
            </w:pPr>
            <w:r>
              <w:rPr>
                <w:b/>
                <w:bCs/>
                <w:color w:val="FFFFFF"/>
                <w:sz w:val="19"/>
                <w:szCs w:val="19"/>
              </w:rPr>
              <w:t>Number of groups</w:t>
            </w:r>
          </w:p>
        </w:tc>
        <w:tc>
          <w:tcPr>
            <w:tcW w:w="2430" w:type="dxa"/>
            <w:shd w:val="clear" w:color="auto" w:fill="1F3864"/>
            <w:tcMar>
              <w:top w:w="90" w:type="dxa"/>
              <w:left w:w="130" w:type="dxa"/>
              <w:bottom w:w="90" w:type="dxa"/>
              <w:right w:w="130" w:type="dxa"/>
            </w:tcMar>
            <w:vAlign w:val="center"/>
          </w:tcPr>
          <w:p w14:paraId="0654DB29" w14:textId="77777777" w:rsidR="00391E0D" w:rsidRDefault="00072DB8">
            <w:pPr>
              <w:spacing w:line="260" w:lineRule="auto"/>
            </w:pPr>
            <w:r>
              <w:rPr>
                <w:b/>
                <w:bCs/>
                <w:color w:val="FFFFFF"/>
                <w:sz w:val="19"/>
                <w:szCs w:val="19"/>
              </w:rPr>
              <w:t>Share of total volume</w:t>
            </w:r>
          </w:p>
        </w:tc>
      </w:tr>
      <w:tr w:rsidR="00391E0D" w14:paraId="65DB9C2A" w14:textId="77777777">
        <w:trPr>
          <w:gridAfter w:val="1"/>
          <w:wAfter w:w="18" w:type="dxa"/>
        </w:trPr>
        <w:tc>
          <w:tcPr>
            <w:tcW w:w="1500" w:type="dxa"/>
            <w:gridSpan w:val="2"/>
            <w:tcMar>
              <w:top w:w="90" w:type="dxa"/>
              <w:left w:w="130" w:type="dxa"/>
              <w:bottom w:w="90" w:type="dxa"/>
              <w:right w:w="130" w:type="dxa"/>
            </w:tcMar>
            <w:vAlign w:val="center"/>
          </w:tcPr>
          <w:p w14:paraId="41D3A7DB" w14:textId="77777777" w:rsidR="00391E0D" w:rsidRDefault="00072DB8">
            <w:pPr>
              <w:spacing w:line="260" w:lineRule="auto"/>
            </w:pPr>
            <w:r>
              <w:rPr>
                <w:b/>
                <w:bCs/>
                <w:color w:val="000000"/>
                <w:sz w:val="19"/>
                <w:szCs w:val="19"/>
              </w:rPr>
              <w:t>Decile 0</w:t>
            </w:r>
          </w:p>
        </w:tc>
        <w:tc>
          <w:tcPr>
            <w:tcW w:w="3000" w:type="dxa"/>
            <w:tcMar>
              <w:top w:w="90" w:type="dxa"/>
              <w:left w:w="130" w:type="dxa"/>
              <w:bottom w:w="90" w:type="dxa"/>
              <w:right w:w="130" w:type="dxa"/>
            </w:tcMar>
            <w:vAlign w:val="center"/>
          </w:tcPr>
          <w:p w14:paraId="6FDB46D0" w14:textId="77777777" w:rsidR="00391E0D" w:rsidRDefault="00072DB8">
            <w:pPr>
              <w:spacing w:line="260" w:lineRule="auto"/>
            </w:pPr>
            <w:r>
              <w:rPr>
                <w:color w:val="000000"/>
                <w:sz w:val="19"/>
                <w:szCs w:val="19"/>
              </w:rPr>
              <w:t>0 – 15</w:t>
            </w:r>
          </w:p>
        </w:tc>
        <w:tc>
          <w:tcPr>
            <w:tcW w:w="2430" w:type="dxa"/>
            <w:tcMar>
              <w:top w:w="90" w:type="dxa"/>
              <w:left w:w="130" w:type="dxa"/>
              <w:bottom w:w="90" w:type="dxa"/>
              <w:right w:w="130" w:type="dxa"/>
            </w:tcMar>
            <w:vAlign w:val="center"/>
          </w:tcPr>
          <w:p w14:paraId="4A388203" w14:textId="77777777" w:rsidR="00391E0D" w:rsidRDefault="00072DB8">
            <w:pPr>
              <w:spacing w:line="260" w:lineRule="auto"/>
            </w:pPr>
            <w:r>
              <w:rPr>
                <w:color w:val="000000"/>
                <w:sz w:val="19"/>
                <w:szCs w:val="19"/>
              </w:rPr>
              <w:t>4,301</w:t>
            </w:r>
          </w:p>
        </w:tc>
        <w:tc>
          <w:tcPr>
            <w:tcW w:w="2430" w:type="dxa"/>
            <w:tcMar>
              <w:top w:w="90" w:type="dxa"/>
              <w:left w:w="130" w:type="dxa"/>
              <w:bottom w:w="90" w:type="dxa"/>
              <w:right w:w="130" w:type="dxa"/>
            </w:tcMar>
            <w:vAlign w:val="center"/>
          </w:tcPr>
          <w:p w14:paraId="74E08F05" w14:textId="77777777" w:rsidR="00391E0D" w:rsidRDefault="00072DB8">
            <w:pPr>
              <w:spacing w:line="260" w:lineRule="auto"/>
            </w:pPr>
            <w:r>
              <w:rPr>
                <w:color w:val="000000"/>
                <w:sz w:val="19"/>
                <w:szCs w:val="19"/>
              </w:rPr>
              <w:t>0.3%</w:t>
            </w:r>
          </w:p>
        </w:tc>
      </w:tr>
      <w:tr w:rsidR="00391E0D" w14:paraId="3F0A54E8" w14:textId="77777777">
        <w:trPr>
          <w:gridAfter w:val="1"/>
          <w:wAfter w:w="18" w:type="dxa"/>
        </w:trPr>
        <w:tc>
          <w:tcPr>
            <w:tcW w:w="1500" w:type="dxa"/>
            <w:gridSpan w:val="2"/>
            <w:shd w:val="clear" w:color="auto" w:fill="F2F5FA"/>
            <w:tcMar>
              <w:top w:w="90" w:type="dxa"/>
              <w:left w:w="130" w:type="dxa"/>
              <w:bottom w:w="90" w:type="dxa"/>
              <w:right w:w="130" w:type="dxa"/>
            </w:tcMar>
            <w:vAlign w:val="center"/>
          </w:tcPr>
          <w:p w14:paraId="3502E015" w14:textId="77777777" w:rsidR="00391E0D" w:rsidRDefault="00072DB8">
            <w:pPr>
              <w:spacing w:line="260" w:lineRule="auto"/>
            </w:pPr>
            <w:r>
              <w:rPr>
                <w:b/>
                <w:bCs/>
                <w:color w:val="000000"/>
                <w:sz w:val="19"/>
                <w:szCs w:val="19"/>
              </w:rPr>
              <w:t>Decile 3</w:t>
            </w:r>
          </w:p>
        </w:tc>
        <w:tc>
          <w:tcPr>
            <w:tcW w:w="3000" w:type="dxa"/>
            <w:shd w:val="clear" w:color="auto" w:fill="F2F5FA"/>
            <w:tcMar>
              <w:top w:w="90" w:type="dxa"/>
              <w:left w:w="130" w:type="dxa"/>
              <w:bottom w:w="90" w:type="dxa"/>
              <w:right w:w="130" w:type="dxa"/>
            </w:tcMar>
            <w:vAlign w:val="center"/>
          </w:tcPr>
          <w:p w14:paraId="4A5B63E3" w14:textId="77777777" w:rsidR="00391E0D" w:rsidRDefault="00072DB8">
            <w:pPr>
              <w:spacing w:line="260" w:lineRule="auto"/>
            </w:pPr>
            <w:r>
              <w:rPr>
                <w:color w:val="000000"/>
                <w:sz w:val="19"/>
                <w:szCs w:val="19"/>
              </w:rPr>
              <w:t>45 – 68</w:t>
            </w:r>
          </w:p>
        </w:tc>
        <w:tc>
          <w:tcPr>
            <w:tcW w:w="2430" w:type="dxa"/>
            <w:shd w:val="clear" w:color="auto" w:fill="F2F5FA"/>
            <w:tcMar>
              <w:top w:w="90" w:type="dxa"/>
              <w:left w:w="130" w:type="dxa"/>
              <w:bottom w:w="90" w:type="dxa"/>
              <w:right w:w="130" w:type="dxa"/>
            </w:tcMar>
            <w:vAlign w:val="center"/>
          </w:tcPr>
          <w:p w14:paraId="2F13E8A3" w14:textId="77777777" w:rsidR="00391E0D" w:rsidRDefault="00072DB8">
            <w:pPr>
              <w:spacing w:line="260" w:lineRule="auto"/>
            </w:pPr>
            <w:r>
              <w:rPr>
                <w:color w:val="000000"/>
                <w:sz w:val="19"/>
                <w:szCs w:val="19"/>
              </w:rPr>
              <w:t>4,072</w:t>
            </w:r>
          </w:p>
        </w:tc>
        <w:tc>
          <w:tcPr>
            <w:tcW w:w="2430" w:type="dxa"/>
            <w:shd w:val="clear" w:color="auto" w:fill="F2F5FA"/>
            <w:tcMar>
              <w:top w:w="90" w:type="dxa"/>
              <w:left w:w="130" w:type="dxa"/>
              <w:bottom w:w="90" w:type="dxa"/>
              <w:right w:w="130" w:type="dxa"/>
            </w:tcMar>
            <w:vAlign w:val="center"/>
          </w:tcPr>
          <w:p w14:paraId="29D081A5" w14:textId="77777777" w:rsidR="00391E0D" w:rsidRDefault="00072DB8">
            <w:pPr>
              <w:spacing w:line="260" w:lineRule="auto"/>
            </w:pPr>
            <w:r>
              <w:rPr>
                <w:color w:val="000000"/>
                <w:sz w:val="19"/>
                <w:szCs w:val="19"/>
              </w:rPr>
              <w:t>1.9%</w:t>
            </w:r>
          </w:p>
        </w:tc>
      </w:tr>
      <w:tr w:rsidR="00391E0D" w14:paraId="203004F8" w14:textId="77777777">
        <w:trPr>
          <w:gridAfter w:val="1"/>
          <w:wAfter w:w="18" w:type="dxa"/>
        </w:trPr>
        <w:tc>
          <w:tcPr>
            <w:tcW w:w="1500" w:type="dxa"/>
            <w:gridSpan w:val="2"/>
            <w:tcMar>
              <w:top w:w="90" w:type="dxa"/>
              <w:left w:w="130" w:type="dxa"/>
              <w:bottom w:w="90" w:type="dxa"/>
              <w:right w:w="130" w:type="dxa"/>
            </w:tcMar>
            <w:vAlign w:val="center"/>
          </w:tcPr>
          <w:p w14:paraId="0A682A71" w14:textId="77777777" w:rsidR="00391E0D" w:rsidRDefault="00072DB8">
            <w:pPr>
              <w:spacing w:line="260" w:lineRule="auto"/>
            </w:pPr>
            <w:r>
              <w:rPr>
                <w:b/>
                <w:bCs/>
                <w:color w:val="000000"/>
                <w:sz w:val="19"/>
                <w:szCs w:val="19"/>
              </w:rPr>
              <w:t>Decile 6</w:t>
            </w:r>
          </w:p>
        </w:tc>
        <w:tc>
          <w:tcPr>
            <w:tcW w:w="3000" w:type="dxa"/>
            <w:tcMar>
              <w:top w:w="90" w:type="dxa"/>
              <w:left w:w="130" w:type="dxa"/>
              <w:bottom w:w="90" w:type="dxa"/>
              <w:right w:w="130" w:type="dxa"/>
            </w:tcMar>
            <w:vAlign w:val="center"/>
          </w:tcPr>
          <w:p w14:paraId="5930E294" w14:textId="77777777" w:rsidR="00391E0D" w:rsidRDefault="00072DB8">
            <w:pPr>
              <w:spacing w:line="260" w:lineRule="auto"/>
            </w:pPr>
            <w:r>
              <w:rPr>
                <w:color w:val="000000"/>
                <w:sz w:val="19"/>
                <w:szCs w:val="19"/>
              </w:rPr>
              <w:t>143 – 214</w:t>
            </w:r>
          </w:p>
        </w:tc>
        <w:tc>
          <w:tcPr>
            <w:tcW w:w="2430" w:type="dxa"/>
            <w:tcMar>
              <w:top w:w="90" w:type="dxa"/>
              <w:left w:w="130" w:type="dxa"/>
              <w:bottom w:w="90" w:type="dxa"/>
              <w:right w:w="130" w:type="dxa"/>
            </w:tcMar>
            <w:vAlign w:val="center"/>
          </w:tcPr>
          <w:p w14:paraId="43712414" w14:textId="77777777" w:rsidR="00391E0D" w:rsidRDefault="00072DB8">
            <w:pPr>
              <w:spacing w:line="260" w:lineRule="auto"/>
            </w:pPr>
            <w:r>
              <w:rPr>
                <w:color w:val="000000"/>
                <w:sz w:val="19"/>
                <w:szCs w:val="19"/>
              </w:rPr>
              <w:t>3,943</w:t>
            </w:r>
          </w:p>
        </w:tc>
        <w:tc>
          <w:tcPr>
            <w:tcW w:w="2430" w:type="dxa"/>
            <w:tcMar>
              <w:top w:w="90" w:type="dxa"/>
              <w:left w:w="130" w:type="dxa"/>
              <w:bottom w:w="90" w:type="dxa"/>
              <w:right w:w="130" w:type="dxa"/>
            </w:tcMar>
            <w:vAlign w:val="center"/>
          </w:tcPr>
          <w:p w14:paraId="6681E4B6" w14:textId="77777777" w:rsidR="00391E0D" w:rsidRDefault="00072DB8">
            <w:pPr>
              <w:spacing w:line="260" w:lineRule="auto"/>
            </w:pPr>
            <w:r>
              <w:rPr>
                <w:color w:val="000000"/>
                <w:sz w:val="19"/>
                <w:szCs w:val="19"/>
              </w:rPr>
              <w:t>5.8%</w:t>
            </w:r>
          </w:p>
        </w:tc>
      </w:tr>
      <w:tr w:rsidR="00391E0D" w14:paraId="191C0E96" w14:textId="77777777">
        <w:trPr>
          <w:gridAfter w:val="1"/>
          <w:wAfter w:w="18" w:type="dxa"/>
        </w:trPr>
        <w:tc>
          <w:tcPr>
            <w:tcW w:w="1500" w:type="dxa"/>
            <w:gridSpan w:val="2"/>
            <w:shd w:val="clear" w:color="auto" w:fill="F2F5FA"/>
            <w:tcMar>
              <w:top w:w="90" w:type="dxa"/>
              <w:left w:w="130" w:type="dxa"/>
              <w:bottom w:w="90" w:type="dxa"/>
              <w:right w:w="130" w:type="dxa"/>
            </w:tcMar>
            <w:vAlign w:val="center"/>
          </w:tcPr>
          <w:p w14:paraId="6D3B5251" w14:textId="77777777" w:rsidR="00391E0D" w:rsidRDefault="00072DB8">
            <w:pPr>
              <w:spacing w:line="260" w:lineRule="auto"/>
            </w:pPr>
            <w:r>
              <w:rPr>
                <w:b/>
                <w:bCs/>
                <w:color w:val="000000"/>
                <w:sz w:val="19"/>
                <w:szCs w:val="19"/>
              </w:rPr>
              <w:t>Decile 8</w:t>
            </w:r>
          </w:p>
        </w:tc>
        <w:tc>
          <w:tcPr>
            <w:tcW w:w="3000" w:type="dxa"/>
            <w:shd w:val="clear" w:color="auto" w:fill="F2F5FA"/>
            <w:tcMar>
              <w:top w:w="90" w:type="dxa"/>
              <w:left w:w="130" w:type="dxa"/>
              <w:bottom w:w="90" w:type="dxa"/>
              <w:right w:w="130" w:type="dxa"/>
            </w:tcMar>
            <w:vAlign w:val="center"/>
          </w:tcPr>
          <w:p w14:paraId="17D1DE6C" w14:textId="77777777" w:rsidR="00391E0D" w:rsidRDefault="00072DB8">
            <w:pPr>
              <w:spacing w:line="260" w:lineRule="auto"/>
            </w:pPr>
            <w:r>
              <w:rPr>
                <w:color w:val="000000"/>
                <w:sz w:val="19"/>
                <w:szCs w:val="19"/>
              </w:rPr>
              <w:t>348 – 668</w:t>
            </w:r>
          </w:p>
        </w:tc>
        <w:tc>
          <w:tcPr>
            <w:tcW w:w="2430" w:type="dxa"/>
            <w:shd w:val="clear" w:color="auto" w:fill="F2F5FA"/>
            <w:tcMar>
              <w:top w:w="90" w:type="dxa"/>
              <w:left w:w="130" w:type="dxa"/>
              <w:bottom w:w="90" w:type="dxa"/>
              <w:right w:w="130" w:type="dxa"/>
            </w:tcMar>
            <w:vAlign w:val="center"/>
          </w:tcPr>
          <w:p w14:paraId="694E8569" w14:textId="77777777" w:rsidR="00391E0D" w:rsidRDefault="00072DB8">
            <w:pPr>
              <w:spacing w:line="260" w:lineRule="auto"/>
            </w:pPr>
            <w:r>
              <w:rPr>
                <w:color w:val="000000"/>
                <w:sz w:val="19"/>
                <w:szCs w:val="19"/>
              </w:rPr>
              <w:t>4,000</w:t>
            </w:r>
          </w:p>
        </w:tc>
        <w:tc>
          <w:tcPr>
            <w:tcW w:w="2430" w:type="dxa"/>
            <w:shd w:val="clear" w:color="auto" w:fill="F2F5FA"/>
            <w:tcMar>
              <w:top w:w="90" w:type="dxa"/>
              <w:left w:w="130" w:type="dxa"/>
              <w:bottom w:w="90" w:type="dxa"/>
              <w:right w:w="130" w:type="dxa"/>
            </w:tcMar>
            <w:vAlign w:val="center"/>
          </w:tcPr>
          <w:p w14:paraId="0461057C" w14:textId="77777777" w:rsidR="00391E0D" w:rsidRDefault="00072DB8">
            <w:pPr>
              <w:spacing w:line="260" w:lineRule="auto"/>
            </w:pPr>
            <w:r>
              <w:rPr>
                <w:color w:val="000000"/>
                <w:sz w:val="19"/>
                <w:szCs w:val="19"/>
              </w:rPr>
              <w:t>16.1%</w:t>
            </w:r>
          </w:p>
        </w:tc>
      </w:tr>
      <w:tr w:rsidR="00391E0D" w14:paraId="53DFD5B8" w14:textId="77777777">
        <w:trPr>
          <w:gridAfter w:val="1"/>
          <w:wAfter w:w="18" w:type="dxa"/>
        </w:trPr>
        <w:tc>
          <w:tcPr>
            <w:tcW w:w="1500" w:type="dxa"/>
            <w:gridSpan w:val="2"/>
            <w:tcMar>
              <w:top w:w="90" w:type="dxa"/>
              <w:left w:w="130" w:type="dxa"/>
              <w:bottom w:w="90" w:type="dxa"/>
              <w:right w:w="130" w:type="dxa"/>
            </w:tcMar>
            <w:vAlign w:val="center"/>
          </w:tcPr>
          <w:p w14:paraId="64684E3B" w14:textId="77777777" w:rsidR="00391E0D" w:rsidRDefault="00072DB8">
            <w:pPr>
              <w:spacing w:line="260" w:lineRule="auto"/>
            </w:pPr>
            <w:r>
              <w:rPr>
                <w:b/>
                <w:bCs/>
                <w:color w:val="000000"/>
                <w:sz w:val="19"/>
                <w:szCs w:val="19"/>
              </w:rPr>
              <w:t>Decile 9</w:t>
            </w:r>
          </w:p>
        </w:tc>
        <w:tc>
          <w:tcPr>
            <w:tcW w:w="3000" w:type="dxa"/>
            <w:tcMar>
              <w:top w:w="90" w:type="dxa"/>
              <w:left w:w="130" w:type="dxa"/>
              <w:bottom w:w="90" w:type="dxa"/>
              <w:right w:w="130" w:type="dxa"/>
            </w:tcMar>
            <w:vAlign w:val="center"/>
          </w:tcPr>
          <w:p w14:paraId="108E210D" w14:textId="77777777" w:rsidR="00391E0D" w:rsidRDefault="00072DB8">
            <w:pPr>
              <w:spacing w:line="260" w:lineRule="auto"/>
            </w:pPr>
            <w:r>
              <w:rPr>
                <w:color w:val="000000"/>
                <w:sz w:val="19"/>
                <w:szCs w:val="19"/>
              </w:rPr>
              <w:t>668 and above</w:t>
            </w:r>
          </w:p>
        </w:tc>
        <w:tc>
          <w:tcPr>
            <w:tcW w:w="2430" w:type="dxa"/>
            <w:tcMar>
              <w:top w:w="90" w:type="dxa"/>
              <w:left w:w="130" w:type="dxa"/>
              <w:bottom w:w="90" w:type="dxa"/>
              <w:right w:w="130" w:type="dxa"/>
            </w:tcMar>
            <w:vAlign w:val="center"/>
          </w:tcPr>
          <w:p w14:paraId="3796AD9D" w14:textId="77777777" w:rsidR="00391E0D" w:rsidRDefault="00072DB8">
            <w:pPr>
              <w:spacing w:line="260" w:lineRule="auto"/>
            </w:pPr>
            <w:r>
              <w:rPr>
                <w:color w:val="000000"/>
                <w:sz w:val="19"/>
                <w:szCs w:val="19"/>
              </w:rPr>
              <w:t>3,995</w:t>
            </w:r>
          </w:p>
        </w:tc>
        <w:tc>
          <w:tcPr>
            <w:tcW w:w="2430" w:type="dxa"/>
            <w:tcMar>
              <w:top w:w="90" w:type="dxa"/>
              <w:left w:w="130" w:type="dxa"/>
              <w:bottom w:w="90" w:type="dxa"/>
              <w:right w:w="130" w:type="dxa"/>
            </w:tcMar>
            <w:vAlign w:val="center"/>
          </w:tcPr>
          <w:p w14:paraId="2A8F3B39" w14:textId="77777777" w:rsidR="00391E0D" w:rsidRDefault="00072DB8">
            <w:pPr>
              <w:spacing w:line="260" w:lineRule="auto"/>
            </w:pPr>
            <w:r>
              <w:rPr>
                <w:color w:val="000000"/>
                <w:sz w:val="19"/>
                <w:szCs w:val="19"/>
              </w:rPr>
              <w:t>57.9%</w:t>
            </w:r>
          </w:p>
        </w:tc>
      </w:tr>
      <w:tr w:rsidR="00391E0D" w14:paraId="3FE5BDC5" w14:textId="77777777">
        <w:tblPrEx>
          <w:tblBorders>
            <w:top w:val="single" w:sz="2" w:space="0" w:color="FFF4E5"/>
            <w:left w:val="single" w:sz="18" w:space="0" w:color="B26B00"/>
            <w:bottom w:val="single" w:sz="2" w:space="0" w:color="FFF4E5"/>
            <w:right w:val="single" w:sz="2" w:space="0" w:color="FFF4E5"/>
            <w:insideH w:val="none" w:sz="0" w:space="0" w:color="auto"/>
            <w:insideV w:val="none" w:sz="0" w:space="0" w:color="auto"/>
          </w:tblBorders>
        </w:tblPrEx>
        <w:trPr>
          <w:gridBefore w:val="1"/>
          <w:wBefore w:w="18" w:type="dxa"/>
        </w:trPr>
        <w:tc>
          <w:tcPr>
            <w:tcW w:w="9360" w:type="dxa"/>
            <w:gridSpan w:val="5"/>
            <w:shd w:val="clear" w:color="auto" w:fill="FFF4E5"/>
            <w:tcMar>
              <w:top w:w="160" w:type="dxa"/>
              <w:left w:w="200" w:type="dxa"/>
              <w:bottom w:w="160" w:type="dxa"/>
              <w:right w:w="200" w:type="dxa"/>
            </w:tcMar>
          </w:tcPr>
          <w:p w14:paraId="4D16CFC8" w14:textId="77777777" w:rsidR="00391E0D" w:rsidRDefault="00072DB8">
            <w:pPr>
              <w:spacing w:after="80"/>
            </w:pPr>
            <w:r>
              <w:rPr>
                <w:b/>
                <w:bCs/>
                <w:color w:val="B26B00"/>
              </w:rPr>
              <w:t>This table is the whole argument for not picking at random</w:t>
            </w:r>
          </w:p>
          <w:p w14:paraId="7F2E009F" w14:textId="77777777" w:rsidR="00391E0D" w:rsidRDefault="00072DB8">
            <w:pPr>
              <w:spacing w:after="60" w:line="264" w:lineRule="auto"/>
            </w:pPr>
            <w:r>
              <w:rPr>
                <w:sz w:val="20"/>
                <w:szCs w:val="20"/>
              </w:rPr>
              <w:t>The top bucket alone carries 58% of the volume. The bottom five buckets together carry under 7%.</w:t>
            </w:r>
          </w:p>
          <w:p w14:paraId="22DAD338" w14:textId="77777777" w:rsidR="00391E0D" w:rsidRDefault="00072DB8">
            <w:pPr>
              <w:spacing w:after="60" w:line="264" w:lineRule="auto"/>
            </w:pPr>
            <w:r>
              <w:rPr>
                <w:sz w:val="20"/>
                <w:szCs w:val="20"/>
              </w:rPr>
              <w:lastRenderedPageBreak/>
              <w:t>A random 15% draw would fill the validation set with groups from the bottom half — half the groups, less than a tenth of the volume that matters. Every version of the model would then be judged mostly on how well it predicts near-nothing.</w:t>
            </w:r>
          </w:p>
        </w:tc>
      </w:tr>
    </w:tbl>
    <w:p w14:paraId="6BAE11C5" w14:textId="77777777" w:rsidR="00391E0D" w:rsidRDefault="00072DB8">
      <w:pPr>
        <w:spacing w:after="120" w:line="276" w:lineRule="auto"/>
      </w:pPr>
      <w:r>
        <w:rPr>
          <w:color w:val="000000"/>
        </w:rPr>
        <w:lastRenderedPageBreak/>
        <w:t>Applying those buckets to our example dealer:</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400"/>
        <w:gridCol w:w="1900"/>
        <w:gridCol w:w="1600"/>
        <w:gridCol w:w="3460"/>
      </w:tblGrid>
      <w:tr w:rsidR="00391E0D" w14:paraId="579118CB" w14:textId="77777777">
        <w:trPr>
          <w:tblHeader/>
        </w:trPr>
        <w:tc>
          <w:tcPr>
            <w:tcW w:w="2400" w:type="dxa"/>
            <w:shd w:val="clear" w:color="auto" w:fill="1F3864"/>
            <w:tcMar>
              <w:top w:w="90" w:type="dxa"/>
              <w:left w:w="130" w:type="dxa"/>
              <w:bottom w:w="90" w:type="dxa"/>
              <w:right w:w="130" w:type="dxa"/>
            </w:tcMar>
            <w:vAlign w:val="center"/>
          </w:tcPr>
          <w:p w14:paraId="0FEC9F4A" w14:textId="77777777" w:rsidR="00391E0D" w:rsidRDefault="00072DB8">
            <w:pPr>
              <w:spacing w:line="260" w:lineRule="auto"/>
            </w:pPr>
            <w:r>
              <w:rPr>
                <w:b/>
                <w:bCs/>
                <w:color w:val="FFFFFF"/>
                <w:sz w:val="19"/>
                <w:szCs w:val="19"/>
              </w:rPr>
              <w:t>Group</w:t>
            </w:r>
          </w:p>
        </w:tc>
        <w:tc>
          <w:tcPr>
            <w:tcW w:w="1900" w:type="dxa"/>
            <w:shd w:val="clear" w:color="auto" w:fill="1F3864"/>
            <w:tcMar>
              <w:top w:w="90" w:type="dxa"/>
              <w:left w:w="130" w:type="dxa"/>
              <w:bottom w:w="90" w:type="dxa"/>
              <w:right w:w="130" w:type="dxa"/>
            </w:tcMar>
            <w:vAlign w:val="center"/>
          </w:tcPr>
          <w:p w14:paraId="03A7A2F1" w14:textId="77777777" w:rsidR="00391E0D" w:rsidRDefault="00072DB8">
            <w:pPr>
              <w:spacing w:line="260" w:lineRule="auto"/>
            </w:pPr>
            <w:r>
              <w:rPr>
                <w:b/>
                <w:bCs/>
                <w:color w:val="FFFFFF"/>
                <w:sz w:val="19"/>
                <w:szCs w:val="19"/>
              </w:rPr>
              <w:t>Sep–Dec volume</w:t>
            </w:r>
          </w:p>
        </w:tc>
        <w:tc>
          <w:tcPr>
            <w:tcW w:w="1600" w:type="dxa"/>
            <w:shd w:val="clear" w:color="auto" w:fill="1F3864"/>
            <w:tcMar>
              <w:top w:w="90" w:type="dxa"/>
              <w:left w:w="130" w:type="dxa"/>
              <w:bottom w:w="90" w:type="dxa"/>
              <w:right w:w="130" w:type="dxa"/>
            </w:tcMar>
            <w:vAlign w:val="center"/>
          </w:tcPr>
          <w:p w14:paraId="5122AED9" w14:textId="77777777" w:rsidR="00391E0D" w:rsidRDefault="00072DB8">
            <w:pPr>
              <w:spacing w:line="260" w:lineRule="auto"/>
            </w:pPr>
            <w:r>
              <w:rPr>
                <w:b/>
                <w:bCs/>
                <w:color w:val="FFFFFF"/>
                <w:sz w:val="19"/>
                <w:szCs w:val="19"/>
              </w:rPr>
              <w:t>Falls in</w:t>
            </w:r>
          </w:p>
        </w:tc>
        <w:tc>
          <w:tcPr>
            <w:tcW w:w="3460" w:type="dxa"/>
            <w:shd w:val="clear" w:color="auto" w:fill="1F3864"/>
            <w:tcMar>
              <w:top w:w="90" w:type="dxa"/>
              <w:left w:w="130" w:type="dxa"/>
              <w:bottom w:w="90" w:type="dxa"/>
              <w:right w:w="130" w:type="dxa"/>
            </w:tcMar>
            <w:vAlign w:val="center"/>
          </w:tcPr>
          <w:p w14:paraId="3A9A969F" w14:textId="77777777" w:rsidR="00391E0D" w:rsidRDefault="00072DB8">
            <w:pPr>
              <w:spacing w:line="260" w:lineRule="auto"/>
            </w:pPr>
            <w:r>
              <w:rPr>
                <w:b/>
                <w:bCs/>
                <w:color w:val="FFFFFF"/>
                <w:sz w:val="19"/>
                <w:szCs w:val="19"/>
              </w:rPr>
              <w:t>Because</w:t>
            </w:r>
          </w:p>
        </w:tc>
      </w:tr>
      <w:tr w:rsidR="00391E0D" w14:paraId="27BBA4D7" w14:textId="77777777">
        <w:tc>
          <w:tcPr>
            <w:tcW w:w="2400" w:type="dxa"/>
            <w:tcMar>
              <w:top w:w="90" w:type="dxa"/>
              <w:left w:w="130" w:type="dxa"/>
              <w:bottom w:w="90" w:type="dxa"/>
              <w:right w:w="130" w:type="dxa"/>
            </w:tcMar>
            <w:vAlign w:val="center"/>
          </w:tcPr>
          <w:p w14:paraId="74710513" w14:textId="46D6C8B3" w:rsidR="00391E0D" w:rsidRDefault="00072DB8">
            <w:pPr>
              <w:spacing w:line="260" w:lineRule="auto"/>
            </w:pPr>
            <w:r>
              <w:rPr>
                <w:b/>
                <w:bCs/>
                <w:color w:val="000000"/>
                <w:sz w:val="19"/>
                <w:szCs w:val="19"/>
              </w:rPr>
              <w:t xml:space="preserve">D4102 &lt;&gt; </w:t>
            </w:r>
            <w:r w:rsidR="000C245A">
              <w:rPr>
                <w:b/>
                <w:bCs/>
                <w:color w:val="000000"/>
                <w:sz w:val="19"/>
                <w:szCs w:val="19"/>
              </w:rPr>
              <w:t>SPLENDOR</w:t>
            </w:r>
          </w:p>
        </w:tc>
        <w:tc>
          <w:tcPr>
            <w:tcW w:w="1900" w:type="dxa"/>
            <w:tcMar>
              <w:top w:w="90" w:type="dxa"/>
              <w:left w:w="130" w:type="dxa"/>
              <w:bottom w:w="90" w:type="dxa"/>
              <w:right w:w="130" w:type="dxa"/>
            </w:tcMar>
            <w:vAlign w:val="center"/>
          </w:tcPr>
          <w:p w14:paraId="2EDCA83C" w14:textId="77777777" w:rsidR="00391E0D" w:rsidRDefault="00072DB8">
            <w:pPr>
              <w:spacing w:line="260" w:lineRule="auto"/>
            </w:pPr>
            <w:r>
              <w:rPr>
                <w:color w:val="000000"/>
                <w:sz w:val="19"/>
                <w:szCs w:val="19"/>
              </w:rPr>
              <w:t>1,840</w:t>
            </w:r>
          </w:p>
        </w:tc>
        <w:tc>
          <w:tcPr>
            <w:tcW w:w="1600" w:type="dxa"/>
            <w:tcMar>
              <w:top w:w="90" w:type="dxa"/>
              <w:left w:w="130" w:type="dxa"/>
              <w:bottom w:w="90" w:type="dxa"/>
              <w:right w:w="130" w:type="dxa"/>
            </w:tcMar>
            <w:vAlign w:val="center"/>
          </w:tcPr>
          <w:p w14:paraId="622EC2DD" w14:textId="77777777" w:rsidR="00391E0D" w:rsidRDefault="00072DB8">
            <w:pPr>
              <w:spacing w:line="260" w:lineRule="auto"/>
            </w:pPr>
            <w:r>
              <w:rPr>
                <w:color w:val="000000"/>
                <w:sz w:val="19"/>
                <w:szCs w:val="19"/>
              </w:rPr>
              <w:t>Decile 9</w:t>
            </w:r>
          </w:p>
        </w:tc>
        <w:tc>
          <w:tcPr>
            <w:tcW w:w="3460" w:type="dxa"/>
            <w:tcMar>
              <w:top w:w="90" w:type="dxa"/>
              <w:left w:w="130" w:type="dxa"/>
              <w:bottom w:w="90" w:type="dxa"/>
              <w:right w:w="130" w:type="dxa"/>
            </w:tcMar>
            <w:vAlign w:val="center"/>
          </w:tcPr>
          <w:p w14:paraId="36F6738C" w14:textId="77777777" w:rsidR="00391E0D" w:rsidRDefault="00072DB8">
            <w:pPr>
              <w:spacing w:line="260" w:lineRule="auto"/>
            </w:pPr>
            <w:r>
              <w:rPr>
                <w:color w:val="000000"/>
                <w:sz w:val="19"/>
                <w:szCs w:val="19"/>
              </w:rPr>
              <w:t>above the 668 cut-off</w:t>
            </w:r>
          </w:p>
        </w:tc>
      </w:tr>
      <w:tr w:rsidR="00391E0D" w14:paraId="33C87062" w14:textId="77777777">
        <w:tc>
          <w:tcPr>
            <w:tcW w:w="2400" w:type="dxa"/>
            <w:shd w:val="clear" w:color="auto" w:fill="F2F5FA"/>
            <w:tcMar>
              <w:top w:w="90" w:type="dxa"/>
              <w:left w:w="130" w:type="dxa"/>
              <w:bottom w:w="90" w:type="dxa"/>
              <w:right w:w="130" w:type="dxa"/>
            </w:tcMar>
            <w:vAlign w:val="center"/>
          </w:tcPr>
          <w:p w14:paraId="64AFA3EB" w14:textId="426194B2" w:rsidR="00391E0D" w:rsidRDefault="00072DB8">
            <w:pPr>
              <w:spacing w:line="260" w:lineRule="auto"/>
            </w:pPr>
            <w:r>
              <w:rPr>
                <w:b/>
                <w:bCs/>
                <w:color w:val="000000"/>
                <w:sz w:val="19"/>
                <w:szCs w:val="19"/>
              </w:rPr>
              <w:t xml:space="preserve">D4102 &lt;&gt; </w:t>
            </w:r>
            <w:r w:rsidR="000C245A">
              <w:rPr>
                <w:b/>
                <w:bCs/>
                <w:color w:val="000000"/>
                <w:sz w:val="19"/>
                <w:szCs w:val="19"/>
              </w:rPr>
              <w:t>DESTINI</w:t>
            </w:r>
          </w:p>
        </w:tc>
        <w:tc>
          <w:tcPr>
            <w:tcW w:w="1900" w:type="dxa"/>
            <w:shd w:val="clear" w:color="auto" w:fill="F2F5FA"/>
            <w:tcMar>
              <w:top w:w="90" w:type="dxa"/>
              <w:left w:w="130" w:type="dxa"/>
              <w:bottom w:w="90" w:type="dxa"/>
              <w:right w:w="130" w:type="dxa"/>
            </w:tcMar>
            <w:vAlign w:val="center"/>
          </w:tcPr>
          <w:p w14:paraId="41306A14" w14:textId="77777777" w:rsidR="00391E0D" w:rsidRDefault="00072DB8">
            <w:pPr>
              <w:spacing w:line="260" w:lineRule="auto"/>
            </w:pPr>
            <w:r>
              <w:rPr>
                <w:color w:val="000000"/>
                <w:sz w:val="19"/>
                <w:szCs w:val="19"/>
              </w:rPr>
              <w:t>420</w:t>
            </w:r>
          </w:p>
        </w:tc>
        <w:tc>
          <w:tcPr>
            <w:tcW w:w="1600" w:type="dxa"/>
            <w:shd w:val="clear" w:color="auto" w:fill="F2F5FA"/>
            <w:tcMar>
              <w:top w:w="90" w:type="dxa"/>
              <w:left w:w="130" w:type="dxa"/>
              <w:bottom w:w="90" w:type="dxa"/>
              <w:right w:w="130" w:type="dxa"/>
            </w:tcMar>
            <w:vAlign w:val="center"/>
          </w:tcPr>
          <w:p w14:paraId="796256D5" w14:textId="77777777" w:rsidR="00391E0D" w:rsidRDefault="00072DB8">
            <w:pPr>
              <w:spacing w:line="260" w:lineRule="auto"/>
            </w:pPr>
            <w:r>
              <w:rPr>
                <w:color w:val="000000"/>
                <w:sz w:val="19"/>
                <w:szCs w:val="19"/>
              </w:rPr>
              <w:t>Decile 8</w:t>
            </w:r>
          </w:p>
        </w:tc>
        <w:tc>
          <w:tcPr>
            <w:tcW w:w="3460" w:type="dxa"/>
            <w:shd w:val="clear" w:color="auto" w:fill="F2F5FA"/>
            <w:tcMar>
              <w:top w:w="90" w:type="dxa"/>
              <w:left w:w="130" w:type="dxa"/>
              <w:bottom w:w="90" w:type="dxa"/>
              <w:right w:w="130" w:type="dxa"/>
            </w:tcMar>
            <w:vAlign w:val="center"/>
          </w:tcPr>
          <w:p w14:paraId="4CAA13DA" w14:textId="77777777" w:rsidR="00391E0D" w:rsidRDefault="00072DB8">
            <w:pPr>
              <w:spacing w:line="260" w:lineRule="auto"/>
            </w:pPr>
            <w:r>
              <w:rPr>
                <w:color w:val="000000"/>
                <w:sz w:val="19"/>
                <w:szCs w:val="19"/>
              </w:rPr>
              <w:t>between 348 and 668</w:t>
            </w:r>
          </w:p>
        </w:tc>
      </w:tr>
      <w:tr w:rsidR="00391E0D" w14:paraId="1B87BDEA" w14:textId="77777777">
        <w:tc>
          <w:tcPr>
            <w:tcW w:w="2400" w:type="dxa"/>
            <w:tcMar>
              <w:top w:w="90" w:type="dxa"/>
              <w:left w:w="130" w:type="dxa"/>
              <w:bottom w:w="90" w:type="dxa"/>
              <w:right w:w="130" w:type="dxa"/>
            </w:tcMar>
            <w:vAlign w:val="center"/>
          </w:tcPr>
          <w:p w14:paraId="2B8C1F71" w14:textId="3EE47FC6" w:rsidR="00391E0D" w:rsidRDefault="00072DB8">
            <w:pPr>
              <w:spacing w:line="260" w:lineRule="auto"/>
            </w:pPr>
            <w:r>
              <w:rPr>
                <w:b/>
                <w:bCs/>
                <w:color w:val="000000"/>
                <w:sz w:val="19"/>
                <w:szCs w:val="19"/>
              </w:rPr>
              <w:t xml:space="preserve">D4102 &lt;&gt; </w:t>
            </w:r>
            <w:r w:rsidR="000C245A">
              <w:rPr>
                <w:b/>
                <w:bCs/>
                <w:color w:val="000000"/>
                <w:sz w:val="19"/>
                <w:szCs w:val="19"/>
              </w:rPr>
              <w:t>GLAMOUR</w:t>
            </w:r>
          </w:p>
        </w:tc>
        <w:tc>
          <w:tcPr>
            <w:tcW w:w="1900" w:type="dxa"/>
            <w:tcMar>
              <w:top w:w="90" w:type="dxa"/>
              <w:left w:w="130" w:type="dxa"/>
              <w:bottom w:w="90" w:type="dxa"/>
              <w:right w:w="130" w:type="dxa"/>
            </w:tcMar>
            <w:vAlign w:val="center"/>
          </w:tcPr>
          <w:p w14:paraId="399F0299" w14:textId="77777777" w:rsidR="00391E0D" w:rsidRDefault="00072DB8">
            <w:pPr>
              <w:spacing w:line="260" w:lineRule="auto"/>
            </w:pPr>
            <w:r>
              <w:rPr>
                <w:color w:val="000000"/>
                <w:sz w:val="19"/>
                <w:szCs w:val="19"/>
              </w:rPr>
              <w:t>95</w:t>
            </w:r>
          </w:p>
        </w:tc>
        <w:tc>
          <w:tcPr>
            <w:tcW w:w="1600" w:type="dxa"/>
            <w:tcMar>
              <w:top w:w="90" w:type="dxa"/>
              <w:left w:w="130" w:type="dxa"/>
              <w:bottom w:w="90" w:type="dxa"/>
              <w:right w:w="130" w:type="dxa"/>
            </w:tcMar>
            <w:vAlign w:val="center"/>
          </w:tcPr>
          <w:p w14:paraId="24338B8A" w14:textId="77777777" w:rsidR="00391E0D" w:rsidRDefault="00072DB8">
            <w:pPr>
              <w:spacing w:line="260" w:lineRule="auto"/>
            </w:pPr>
            <w:r>
              <w:rPr>
                <w:color w:val="000000"/>
                <w:sz w:val="19"/>
                <w:szCs w:val="19"/>
              </w:rPr>
              <w:t>Decile 4</w:t>
            </w:r>
          </w:p>
        </w:tc>
        <w:tc>
          <w:tcPr>
            <w:tcW w:w="3460" w:type="dxa"/>
            <w:tcMar>
              <w:top w:w="90" w:type="dxa"/>
              <w:left w:w="130" w:type="dxa"/>
              <w:bottom w:w="90" w:type="dxa"/>
              <w:right w:w="130" w:type="dxa"/>
            </w:tcMar>
            <w:vAlign w:val="center"/>
          </w:tcPr>
          <w:p w14:paraId="687CEC72" w14:textId="77777777" w:rsidR="00391E0D" w:rsidRDefault="00072DB8">
            <w:pPr>
              <w:spacing w:line="260" w:lineRule="auto"/>
            </w:pPr>
            <w:r>
              <w:rPr>
                <w:color w:val="000000"/>
                <w:sz w:val="19"/>
                <w:szCs w:val="19"/>
              </w:rPr>
              <w:t>between 68 and 98</w:t>
            </w:r>
          </w:p>
        </w:tc>
      </w:tr>
    </w:tbl>
    <w:p w14:paraId="418D6E15" w14:textId="77777777" w:rsidR="00391E0D" w:rsidRDefault="00072DB8">
      <w:pPr>
        <w:pStyle w:val="Heading3"/>
        <w:spacing w:before="180" w:after="80"/>
      </w:pPr>
      <w:r>
        <w:rPr>
          <w:b/>
          <w:bCs/>
          <w:color w:val="1F3864"/>
          <w:sz w:val="22"/>
          <w:szCs w:val="22"/>
        </w:rPr>
        <w:t>Step 4 — Take 15% from within each bucket, family by family</w:t>
      </w:r>
    </w:p>
    <w:p w14:paraId="69C4FEAF" w14:textId="4328A8CE" w:rsidR="00391E0D" w:rsidRDefault="00072DB8">
      <w:pPr>
        <w:spacing w:after="120" w:line="276" w:lineRule="auto"/>
      </w:pPr>
      <w:r>
        <w:rPr>
          <w:color w:val="000000"/>
        </w:rPr>
        <w:t xml:space="preserve">Rather than drawing 15% from one large pool, the split is made separately inside each combination of model family and size bucket. Across all dealers there may be, say, 300 </w:t>
      </w:r>
      <w:r w:rsidR="000C245A">
        <w:rPr>
          <w:color w:val="000000"/>
        </w:rPr>
        <w:t>SPLENDOR</w:t>
      </w:r>
      <w:r>
        <w:rPr>
          <w:color w:val="000000"/>
        </w:rPr>
        <w:t xml:space="preserve"> groups in decile 9; the split takes 85% of those 300 for training and 15% for validation. The same is done for every other combination.</w:t>
      </w:r>
    </w:p>
    <w:p w14:paraId="456B5E5C" w14:textId="77777777" w:rsidR="00391E0D" w:rsidRDefault="00072DB8">
      <w:pPr>
        <w:spacing w:after="120" w:line="276" w:lineRule="auto"/>
      </w:pPr>
      <w:r>
        <w:rPr>
          <w:color w:val="000000"/>
        </w:rPr>
        <w:t>This guarantees two things by construction rather than by luck. Every model family keeps 85% of its groups in training, so no family is ever held out wholesale. And the validation set contains large groups and small groups in the same proportions as the full population.</w:t>
      </w:r>
    </w:p>
    <w:p w14:paraId="430FC0A5" w14:textId="77777777" w:rsidR="00391E0D" w:rsidRDefault="00072DB8">
      <w:pPr>
        <w:pStyle w:val="Heading3"/>
        <w:spacing w:before="180" w:after="80"/>
      </w:pPr>
      <w:r>
        <w:rPr>
          <w:b/>
          <w:bCs/>
          <w:color w:val="1F3864"/>
          <w:sz w:val="22"/>
          <w:szCs w:val="22"/>
        </w:rPr>
        <w:t>Step 5 — Series follow their group</w:t>
      </w:r>
    </w:p>
    <w:p w14:paraId="4E5E4FE2" w14:textId="6C40DD06" w:rsidR="00391E0D" w:rsidRDefault="00072DB8">
      <w:pPr>
        <w:spacing w:after="120" w:line="276" w:lineRule="auto"/>
      </w:pPr>
      <w:r>
        <w:rPr>
          <w:color w:val="000000"/>
        </w:rPr>
        <w:t xml:space="preserve">Suppose the draw sends D4102's </w:t>
      </w:r>
      <w:r w:rsidR="000C245A">
        <w:rPr>
          <w:color w:val="000000"/>
        </w:rPr>
        <w:t>DESTINI</w:t>
      </w:r>
      <w:r>
        <w:rPr>
          <w:color w:val="000000"/>
        </w:rPr>
        <w:t xml:space="preserve"> block to validation and the other two to training. The ten series are then assigned as follows:</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5860"/>
        <w:gridCol w:w="3500"/>
      </w:tblGrid>
      <w:tr w:rsidR="00391E0D" w14:paraId="51D0D3F6" w14:textId="77777777">
        <w:trPr>
          <w:tblHeader/>
        </w:trPr>
        <w:tc>
          <w:tcPr>
            <w:tcW w:w="5860" w:type="dxa"/>
            <w:shd w:val="clear" w:color="auto" w:fill="1F3864"/>
            <w:tcMar>
              <w:top w:w="90" w:type="dxa"/>
              <w:left w:w="130" w:type="dxa"/>
              <w:bottom w:w="90" w:type="dxa"/>
              <w:right w:w="130" w:type="dxa"/>
            </w:tcMar>
            <w:vAlign w:val="center"/>
          </w:tcPr>
          <w:p w14:paraId="132B780E" w14:textId="77777777" w:rsidR="00391E0D" w:rsidRDefault="00072DB8">
            <w:pPr>
              <w:spacing w:line="260" w:lineRule="auto"/>
            </w:pPr>
            <w:r>
              <w:rPr>
                <w:b/>
                <w:bCs/>
                <w:color w:val="FFFFFF"/>
                <w:sz w:val="19"/>
                <w:szCs w:val="19"/>
              </w:rPr>
              <w:t>Series</w:t>
            </w:r>
          </w:p>
        </w:tc>
        <w:tc>
          <w:tcPr>
            <w:tcW w:w="3500" w:type="dxa"/>
            <w:shd w:val="clear" w:color="auto" w:fill="1F3864"/>
            <w:tcMar>
              <w:top w:w="90" w:type="dxa"/>
              <w:left w:w="130" w:type="dxa"/>
              <w:bottom w:w="90" w:type="dxa"/>
              <w:right w:w="130" w:type="dxa"/>
            </w:tcMar>
            <w:vAlign w:val="center"/>
          </w:tcPr>
          <w:p w14:paraId="05A97A98" w14:textId="77777777" w:rsidR="00391E0D" w:rsidRDefault="00072DB8">
            <w:pPr>
              <w:spacing w:line="260" w:lineRule="auto"/>
            </w:pPr>
            <w:r>
              <w:rPr>
                <w:b/>
                <w:bCs/>
                <w:color w:val="FFFFFF"/>
                <w:sz w:val="19"/>
                <w:szCs w:val="19"/>
              </w:rPr>
              <w:t>Assigned to</w:t>
            </w:r>
          </w:p>
        </w:tc>
      </w:tr>
      <w:tr w:rsidR="00391E0D" w14:paraId="5DCCAEBE" w14:textId="77777777">
        <w:tc>
          <w:tcPr>
            <w:tcW w:w="5860" w:type="dxa"/>
            <w:tcMar>
              <w:top w:w="90" w:type="dxa"/>
              <w:left w:w="130" w:type="dxa"/>
              <w:bottom w:w="90" w:type="dxa"/>
              <w:right w:w="130" w:type="dxa"/>
            </w:tcMar>
            <w:vAlign w:val="center"/>
          </w:tcPr>
          <w:p w14:paraId="53606DCA" w14:textId="0E693D3B" w:rsidR="00391E0D" w:rsidRDefault="00072DB8">
            <w:pPr>
              <w:spacing w:line="260" w:lineRule="auto"/>
            </w:pPr>
            <w:r>
              <w:rPr>
                <w:b/>
                <w:bCs/>
                <w:color w:val="000000"/>
                <w:sz w:val="19"/>
                <w:szCs w:val="19"/>
              </w:rPr>
              <w:t xml:space="preserve">D4102 &lt;&gt; </w:t>
            </w:r>
            <w:r w:rsidR="000C245A">
              <w:rPr>
                <w:b/>
                <w:bCs/>
                <w:color w:val="000000"/>
                <w:sz w:val="19"/>
                <w:szCs w:val="19"/>
              </w:rPr>
              <w:t>SPLENDOR</w:t>
            </w:r>
            <w:r>
              <w:rPr>
                <w:b/>
                <w:bCs/>
                <w:color w:val="000000"/>
                <w:sz w:val="19"/>
                <w:szCs w:val="19"/>
              </w:rPr>
              <w:t xml:space="preserve"> &lt;&gt; red-drum</w:t>
            </w:r>
          </w:p>
        </w:tc>
        <w:tc>
          <w:tcPr>
            <w:tcW w:w="3500" w:type="dxa"/>
            <w:tcMar>
              <w:top w:w="90" w:type="dxa"/>
              <w:left w:w="130" w:type="dxa"/>
              <w:bottom w:w="90" w:type="dxa"/>
              <w:right w:w="130" w:type="dxa"/>
            </w:tcMar>
            <w:vAlign w:val="center"/>
          </w:tcPr>
          <w:p w14:paraId="3560CE07" w14:textId="77777777" w:rsidR="00391E0D" w:rsidRDefault="00072DB8">
            <w:pPr>
              <w:spacing w:line="260" w:lineRule="auto"/>
            </w:pPr>
            <w:r>
              <w:rPr>
                <w:color w:val="000000"/>
                <w:sz w:val="19"/>
                <w:szCs w:val="19"/>
              </w:rPr>
              <w:t>Training</w:t>
            </w:r>
          </w:p>
        </w:tc>
      </w:tr>
      <w:tr w:rsidR="00391E0D" w14:paraId="22DE749D" w14:textId="77777777">
        <w:tc>
          <w:tcPr>
            <w:tcW w:w="5860" w:type="dxa"/>
            <w:shd w:val="clear" w:color="auto" w:fill="F2F5FA"/>
            <w:tcMar>
              <w:top w:w="90" w:type="dxa"/>
              <w:left w:w="130" w:type="dxa"/>
              <w:bottom w:w="90" w:type="dxa"/>
              <w:right w:w="130" w:type="dxa"/>
            </w:tcMar>
            <w:vAlign w:val="center"/>
          </w:tcPr>
          <w:p w14:paraId="1058A4D0" w14:textId="29AA4902" w:rsidR="00391E0D" w:rsidRDefault="00072DB8">
            <w:pPr>
              <w:spacing w:line="260" w:lineRule="auto"/>
            </w:pPr>
            <w:r>
              <w:rPr>
                <w:b/>
                <w:bCs/>
                <w:color w:val="000000"/>
                <w:sz w:val="19"/>
                <w:szCs w:val="19"/>
              </w:rPr>
              <w:t xml:space="preserve">D4102 &lt;&gt; </w:t>
            </w:r>
            <w:r w:rsidR="000C245A">
              <w:rPr>
                <w:b/>
                <w:bCs/>
                <w:color w:val="000000"/>
                <w:sz w:val="19"/>
                <w:szCs w:val="19"/>
              </w:rPr>
              <w:t>SPLENDOR</w:t>
            </w:r>
            <w:r>
              <w:rPr>
                <w:b/>
                <w:bCs/>
                <w:color w:val="000000"/>
                <w:sz w:val="19"/>
                <w:szCs w:val="19"/>
              </w:rPr>
              <w:t xml:space="preserve"> &lt;&gt; red-disc</w:t>
            </w:r>
          </w:p>
        </w:tc>
        <w:tc>
          <w:tcPr>
            <w:tcW w:w="3500" w:type="dxa"/>
            <w:shd w:val="clear" w:color="auto" w:fill="F2F5FA"/>
            <w:tcMar>
              <w:top w:w="90" w:type="dxa"/>
              <w:left w:w="130" w:type="dxa"/>
              <w:bottom w:w="90" w:type="dxa"/>
              <w:right w:w="130" w:type="dxa"/>
            </w:tcMar>
            <w:vAlign w:val="center"/>
          </w:tcPr>
          <w:p w14:paraId="33B787B8" w14:textId="77777777" w:rsidR="00391E0D" w:rsidRDefault="00072DB8">
            <w:pPr>
              <w:spacing w:line="260" w:lineRule="auto"/>
            </w:pPr>
            <w:r>
              <w:rPr>
                <w:color w:val="000000"/>
                <w:sz w:val="19"/>
                <w:szCs w:val="19"/>
              </w:rPr>
              <w:t>Training</w:t>
            </w:r>
          </w:p>
        </w:tc>
      </w:tr>
      <w:tr w:rsidR="00391E0D" w14:paraId="240A71B5" w14:textId="77777777">
        <w:tc>
          <w:tcPr>
            <w:tcW w:w="5860" w:type="dxa"/>
            <w:tcMar>
              <w:top w:w="90" w:type="dxa"/>
              <w:left w:w="130" w:type="dxa"/>
              <w:bottom w:w="90" w:type="dxa"/>
              <w:right w:w="130" w:type="dxa"/>
            </w:tcMar>
            <w:vAlign w:val="center"/>
          </w:tcPr>
          <w:p w14:paraId="4B2C6B8C" w14:textId="4687BDF8" w:rsidR="00391E0D" w:rsidRDefault="00072DB8">
            <w:pPr>
              <w:spacing w:line="260" w:lineRule="auto"/>
            </w:pPr>
            <w:r>
              <w:rPr>
                <w:b/>
                <w:bCs/>
                <w:color w:val="000000"/>
                <w:sz w:val="19"/>
                <w:szCs w:val="19"/>
              </w:rPr>
              <w:t xml:space="preserve">D4102 &lt;&gt; </w:t>
            </w:r>
            <w:r w:rsidR="000C245A">
              <w:rPr>
                <w:b/>
                <w:bCs/>
                <w:color w:val="000000"/>
                <w:sz w:val="19"/>
                <w:szCs w:val="19"/>
              </w:rPr>
              <w:t>SPLENDOR</w:t>
            </w:r>
            <w:r>
              <w:rPr>
                <w:b/>
                <w:bCs/>
                <w:color w:val="000000"/>
                <w:sz w:val="19"/>
                <w:szCs w:val="19"/>
              </w:rPr>
              <w:t xml:space="preserve"> &lt;&gt; black-drum</w:t>
            </w:r>
          </w:p>
        </w:tc>
        <w:tc>
          <w:tcPr>
            <w:tcW w:w="3500" w:type="dxa"/>
            <w:tcMar>
              <w:top w:w="90" w:type="dxa"/>
              <w:left w:w="130" w:type="dxa"/>
              <w:bottom w:w="90" w:type="dxa"/>
              <w:right w:w="130" w:type="dxa"/>
            </w:tcMar>
            <w:vAlign w:val="center"/>
          </w:tcPr>
          <w:p w14:paraId="0226C2C3" w14:textId="77777777" w:rsidR="00391E0D" w:rsidRDefault="00072DB8">
            <w:pPr>
              <w:spacing w:line="260" w:lineRule="auto"/>
            </w:pPr>
            <w:r>
              <w:rPr>
                <w:color w:val="000000"/>
                <w:sz w:val="19"/>
                <w:szCs w:val="19"/>
              </w:rPr>
              <w:t>Training</w:t>
            </w:r>
          </w:p>
        </w:tc>
      </w:tr>
      <w:tr w:rsidR="00391E0D" w14:paraId="43D59A4D" w14:textId="77777777">
        <w:tc>
          <w:tcPr>
            <w:tcW w:w="5860" w:type="dxa"/>
            <w:shd w:val="clear" w:color="auto" w:fill="F2F5FA"/>
            <w:tcMar>
              <w:top w:w="90" w:type="dxa"/>
              <w:left w:w="130" w:type="dxa"/>
              <w:bottom w:w="90" w:type="dxa"/>
              <w:right w:w="130" w:type="dxa"/>
            </w:tcMar>
            <w:vAlign w:val="center"/>
          </w:tcPr>
          <w:p w14:paraId="3FB8EF71" w14:textId="058AC03D" w:rsidR="00391E0D" w:rsidRDefault="00072DB8">
            <w:pPr>
              <w:spacing w:line="260" w:lineRule="auto"/>
            </w:pPr>
            <w:r>
              <w:rPr>
                <w:b/>
                <w:bCs/>
                <w:color w:val="000000"/>
                <w:sz w:val="19"/>
                <w:szCs w:val="19"/>
              </w:rPr>
              <w:t xml:space="preserve">D4102 &lt;&gt; </w:t>
            </w:r>
            <w:r w:rsidR="000C245A">
              <w:rPr>
                <w:b/>
                <w:bCs/>
                <w:color w:val="000000"/>
                <w:sz w:val="19"/>
                <w:szCs w:val="19"/>
              </w:rPr>
              <w:t>SPLENDOR</w:t>
            </w:r>
            <w:r>
              <w:rPr>
                <w:b/>
                <w:bCs/>
                <w:color w:val="000000"/>
                <w:sz w:val="19"/>
                <w:szCs w:val="19"/>
              </w:rPr>
              <w:t xml:space="preserve"> &lt;&gt; black-disc</w:t>
            </w:r>
          </w:p>
        </w:tc>
        <w:tc>
          <w:tcPr>
            <w:tcW w:w="3500" w:type="dxa"/>
            <w:shd w:val="clear" w:color="auto" w:fill="F2F5FA"/>
            <w:tcMar>
              <w:top w:w="90" w:type="dxa"/>
              <w:left w:w="130" w:type="dxa"/>
              <w:bottom w:w="90" w:type="dxa"/>
              <w:right w:w="130" w:type="dxa"/>
            </w:tcMar>
            <w:vAlign w:val="center"/>
          </w:tcPr>
          <w:p w14:paraId="34C6A5DB" w14:textId="77777777" w:rsidR="00391E0D" w:rsidRDefault="00072DB8">
            <w:pPr>
              <w:spacing w:line="260" w:lineRule="auto"/>
            </w:pPr>
            <w:r>
              <w:rPr>
                <w:color w:val="000000"/>
                <w:sz w:val="19"/>
                <w:szCs w:val="19"/>
              </w:rPr>
              <w:t>Training</w:t>
            </w:r>
          </w:p>
        </w:tc>
      </w:tr>
      <w:tr w:rsidR="00391E0D" w14:paraId="5F4233FD" w14:textId="77777777">
        <w:tc>
          <w:tcPr>
            <w:tcW w:w="5860" w:type="dxa"/>
            <w:tcMar>
              <w:top w:w="90" w:type="dxa"/>
              <w:left w:w="130" w:type="dxa"/>
              <w:bottom w:w="90" w:type="dxa"/>
              <w:right w:w="130" w:type="dxa"/>
            </w:tcMar>
            <w:vAlign w:val="center"/>
          </w:tcPr>
          <w:p w14:paraId="748D4A58" w14:textId="38D4A3B7" w:rsidR="00391E0D" w:rsidRDefault="00072DB8">
            <w:pPr>
              <w:spacing w:line="260" w:lineRule="auto"/>
            </w:pPr>
            <w:r>
              <w:rPr>
                <w:b/>
                <w:bCs/>
                <w:color w:val="000000"/>
                <w:sz w:val="19"/>
                <w:szCs w:val="19"/>
              </w:rPr>
              <w:t xml:space="preserve">D4102 &lt;&gt; </w:t>
            </w:r>
            <w:r w:rsidR="000C245A">
              <w:rPr>
                <w:b/>
                <w:bCs/>
                <w:color w:val="000000"/>
                <w:sz w:val="19"/>
                <w:szCs w:val="19"/>
              </w:rPr>
              <w:t>SPLENDOR</w:t>
            </w:r>
            <w:r>
              <w:rPr>
                <w:b/>
                <w:bCs/>
                <w:color w:val="000000"/>
                <w:sz w:val="19"/>
                <w:szCs w:val="19"/>
              </w:rPr>
              <w:t xml:space="preserve"> &lt;&gt; grey-disc</w:t>
            </w:r>
          </w:p>
        </w:tc>
        <w:tc>
          <w:tcPr>
            <w:tcW w:w="3500" w:type="dxa"/>
            <w:tcMar>
              <w:top w:w="90" w:type="dxa"/>
              <w:left w:w="130" w:type="dxa"/>
              <w:bottom w:w="90" w:type="dxa"/>
              <w:right w:w="130" w:type="dxa"/>
            </w:tcMar>
            <w:vAlign w:val="center"/>
          </w:tcPr>
          <w:p w14:paraId="6B6A1205" w14:textId="77777777" w:rsidR="00391E0D" w:rsidRDefault="00072DB8">
            <w:pPr>
              <w:spacing w:line="260" w:lineRule="auto"/>
            </w:pPr>
            <w:r>
              <w:rPr>
                <w:color w:val="000000"/>
                <w:sz w:val="19"/>
                <w:szCs w:val="19"/>
              </w:rPr>
              <w:t>Training</w:t>
            </w:r>
          </w:p>
        </w:tc>
      </w:tr>
      <w:tr w:rsidR="00391E0D" w14:paraId="5F0DE3F9" w14:textId="77777777">
        <w:tc>
          <w:tcPr>
            <w:tcW w:w="5860" w:type="dxa"/>
            <w:shd w:val="clear" w:color="auto" w:fill="F2F5FA"/>
            <w:tcMar>
              <w:top w:w="90" w:type="dxa"/>
              <w:left w:w="130" w:type="dxa"/>
              <w:bottom w:w="90" w:type="dxa"/>
              <w:right w:w="130" w:type="dxa"/>
            </w:tcMar>
            <w:vAlign w:val="center"/>
          </w:tcPr>
          <w:p w14:paraId="09D15997" w14:textId="41185A51" w:rsidR="00391E0D" w:rsidRDefault="00072DB8">
            <w:pPr>
              <w:spacing w:line="260" w:lineRule="auto"/>
            </w:pPr>
            <w:r>
              <w:rPr>
                <w:b/>
                <w:bCs/>
                <w:color w:val="000000"/>
                <w:sz w:val="19"/>
                <w:szCs w:val="19"/>
              </w:rPr>
              <w:t xml:space="preserve">D4102 &lt;&gt; </w:t>
            </w:r>
            <w:r w:rsidR="000C245A">
              <w:rPr>
                <w:b/>
                <w:bCs/>
                <w:color w:val="000000"/>
                <w:sz w:val="19"/>
                <w:szCs w:val="19"/>
              </w:rPr>
              <w:t>DESTINI</w:t>
            </w:r>
            <w:r>
              <w:rPr>
                <w:b/>
                <w:bCs/>
                <w:color w:val="000000"/>
                <w:sz w:val="19"/>
                <w:szCs w:val="19"/>
              </w:rPr>
              <w:t xml:space="preserve"> &lt;&gt; blue-drum</w:t>
            </w:r>
          </w:p>
        </w:tc>
        <w:tc>
          <w:tcPr>
            <w:tcW w:w="3500" w:type="dxa"/>
            <w:shd w:val="clear" w:color="auto" w:fill="F2F5FA"/>
            <w:tcMar>
              <w:top w:w="90" w:type="dxa"/>
              <w:left w:w="130" w:type="dxa"/>
              <w:bottom w:w="90" w:type="dxa"/>
              <w:right w:w="130" w:type="dxa"/>
            </w:tcMar>
            <w:vAlign w:val="center"/>
          </w:tcPr>
          <w:p w14:paraId="3F669FD1" w14:textId="77777777" w:rsidR="00391E0D" w:rsidRDefault="00072DB8">
            <w:pPr>
              <w:spacing w:line="260" w:lineRule="auto"/>
            </w:pPr>
            <w:r>
              <w:rPr>
                <w:color w:val="000000"/>
                <w:sz w:val="19"/>
                <w:szCs w:val="19"/>
              </w:rPr>
              <w:t>Validation</w:t>
            </w:r>
          </w:p>
        </w:tc>
      </w:tr>
      <w:tr w:rsidR="00391E0D" w14:paraId="349AE83B" w14:textId="77777777">
        <w:tc>
          <w:tcPr>
            <w:tcW w:w="5860" w:type="dxa"/>
            <w:tcMar>
              <w:top w:w="90" w:type="dxa"/>
              <w:left w:w="130" w:type="dxa"/>
              <w:bottom w:w="90" w:type="dxa"/>
              <w:right w:w="130" w:type="dxa"/>
            </w:tcMar>
            <w:vAlign w:val="center"/>
          </w:tcPr>
          <w:p w14:paraId="32EFB980" w14:textId="6449C0E2" w:rsidR="00391E0D" w:rsidRDefault="00072DB8">
            <w:pPr>
              <w:spacing w:line="260" w:lineRule="auto"/>
            </w:pPr>
            <w:r>
              <w:rPr>
                <w:b/>
                <w:bCs/>
                <w:color w:val="000000"/>
                <w:sz w:val="19"/>
                <w:szCs w:val="19"/>
              </w:rPr>
              <w:t xml:space="preserve">D4102 &lt;&gt; </w:t>
            </w:r>
            <w:r w:rsidR="000C245A">
              <w:rPr>
                <w:b/>
                <w:bCs/>
                <w:color w:val="000000"/>
                <w:sz w:val="19"/>
                <w:szCs w:val="19"/>
              </w:rPr>
              <w:t>DESTINI</w:t>
            </w:r>
            <w:r>
              <w:rPr>
                <w:b/>
                <w:bCs/>
                <w:color w:val="000000"/>
                <w:sz w:val="19"/>
                <w:szCs w:val="19"/>
              </w:rPr>
              <w:t xml:space="preserve"> &lt;&gt; white-drum</w:t>
            </w:r>
          </w:p>
        </w:tc>
        <w:tc>
          <w:tcPr>
            <w:tcW w:w="3500" w:type="dxa"/>
            <w:tcMar>
              <w:top w:w="90" w:type="dxa"/>
              <w:left w:w="130" w:type="dxa"/>
              <w:bottom w:w="90" w:type="dxa"/>
              <w:right w:w="130" w:type="dxa"/>
            </w:tcMar>
            <w:vAlign w:val="center"/>
          </w:tcPr>
          <w:p w14:paraId="31AC2883" w14:textId="77777777" w:rsidR="00391E0D" w:rsidRDefault="00072DB8">
            <w:pPr>
              <w:spacing w:line="260" w:lineRule="auto"/>
            </w:pPr>
            <w:r>
              <w:rPr>
                <w:color w:val="000000"/>
                <w:sz w:val="19"/>
                <w:szCs w:val="19"/>
              </w:rPr>
              <w:t>Validation</w:t>
            </w:r>
          </w:p>
        </w:tc>
      </w:tr>
      <w:tr w:rsidR="00391E0D" w14:paraId="46568325" w14:textId="77777777">
        <w:tc>
          <w:tcPr>
            <w:tcW w:w="5860" w:type="dxa"/>
            <w:shd w:val="clear" w:color="auto" w:fill="F2F5FA"/>
            <w:tcMar>
              <w:top w:w="90" w:type="dxa"/>
              <w:left w:w="130" w:type="dxa"/>
              <w:bottom w:w="90" w:type="dxa"/>
              <w:right w:w="130" w:type="dxa"/>
            </w:tcMar>
            <w:vAlign w:val="center"/>
          </w:tcPr>
          <w:p w14:paraId="35CBF394" w14:textId="5E22E5E1" w:rsidR="00391E0D" w:rsidRDefault="00072DB8">
            <w:pPr>
              <w:spacing w:line="260" w:lineRule="auto"/>
            </w:pPr>
            <w:r>
              <w:rPr>
                <w:b/>
                <w:bCs/>
                <w:color w:val="000000"/>
                <w:sz w:val="19"/>
                <w:szCs w:val="19"/>
              </w:rPr>
              <w:t xml:space="preserve">D4102 &lt;&gt; </w:t>
            </w:r>
            <w:r w:rsidR="000C245A">
              <w:rPr>
                <w:b/>
                <w:bCs/>
                <w:color w:val="000000"/>
                <w:sz w:val="19"/>
                <w:szCs w:val="19"/>
              </w:rPr>
              <w:t>DESTINI</w:t>
            </w:r>
            <w:r>
              <w:rPr>
                <w:b/>
                <w:bCs/>
                <w:color w:val="000000"/>
                <w:sz w:val="19"/>
                <w:szCs w:val="19"/>
              </w:rPr>
              <w:t xml:space="preserve"> &lt;&gt; white-disc</w:t>
            </w:r>
          </w:p>
        </w:tc>
        <w:tc>
          <w:tcPr>
            <w:tcW w:w="3500" w:type="dxa"/>
            <w:shd w:val="clear" w:color="auto" w:fill="F2F5FA"/>
            <w:tcMar>
              <w:top w:w="90" w:type="dxa"/>
              <w:left w:w="130" w:type="dxa"/>
              <w:bottom w:w="90" w:type="dxa"/>
              <w:right w:w="130" w:type="dxa"/>
            </w:tcMar>
            <w:vAlign w:val="center"/>
          </w:tcPr>
          <w:p w14:paraId="6C4C4DEE" w14:textId="77777777" w:rsidR="00391E0D" w:rsidRDefault="00072DB8">
            <w:pPr>
              <w:spacing w:line="260" w:lineRule="auto"/>
            </w:pPr>
            <w:r>
              <w:rPr>
                <w:color w:val="000000"/>
                <w:sz w:val="19"/>
                <w:szCs w:val="19"/>
              </w:rPr>
              <w:t>Validation</w:t>
            </w:r>
          </w:p>
        </w:tc>
      </w:tr>
      <w:tr w:rsidR="00391E0D" w14:paraId="19BFAFD0" w14:textId="77777777">
        <w:tc>
          <w:tcPr>
            <w:tcW w:w="5860" w:type="dxa"/>
            <w:tcMar>
              <w:top w:w="90" w:type="dxa"/>
              <w:left w:w="130" w:type="dxa"/>
              <w:bottom w:w="90" w:type="dxa"/>
              <w:right w:w="130" w:type="dxa"/>
            </w:tcMar>
            <w:vAlign w:val="center"/>
          </w:tcPr>
          <w:p w14:paraId="7FF1FAA1" w14:textId="1AA86038" w:rsidR="00391E0D" w:rsidRDefault="00072DB8">
            <w:pPr>
              <w:spacing w:line="260" w:lineRule="auto"/>
            </w:pPr>
            <w:r>
              <w:rPr>
                <w:b/>
                <w:bCs/>
                <w:color w:val="000000"/>
                <w:sz w:val="19"/>
                <w:szCs w:val="19"/>
              </w:rPr>
              <w:t xml:space="preserve">D4102 &lt;&gt; </w:t>
            </w:r>
            <w:r w:rsidR="000C245A">
              <w:rPr>
                <w:b/>
                <w:bCs/>
                <w:color w:val="000000"/>
                <w:sz w:val="19"/>
                <w:szCs w:val="19"/>
              </w:rPr>
              <w:t>GLAMOUR</w:t>
            </w:r>
            <w:r>
              <w:rPr>
                <w:b/>
                <w:bCs/>
                <w:color w:val="000000"/>
                <w:sz w:val="19"/>
                <w:szCs w:val="19"/>
              </w:rPr>
              <w:t xml:space="preserve"> &lt;&gt; red-disc</w:t>
            </w:r>
          </w:p>
        </w:tc>
        <w:tc>
          <w:tcPr>
            <w:tcW w:w="3500" w:type="dxa"/>
            <w:tcMar>
              <w:top w:w="90" w:type="dxa"/>
              <w:left w:w="130" w:type="dxa"/>
              <w:bottom w:w="90" w:type="dxa"/>
              <w:right w:w="130" w:type="dxa"/>
            </w:tcMar>
            <w:vAlign w:val="center"/>
          </w:tcPr>
          <w:p w14:paraId="0128EAAD" w14:textId="77777777" w:rsidR="00391E0D" w:rsidRDefault="00072DB8">
            <w:pPr>
              <w:spacing w:line="260" w:lineRule="auto"/>
            </w:pPr>
            <w:r>
              <w:rPr>
                <w:color w:val="000000"/>
                <w:sz w:val="19"/>
                <w:szCs w:val="19"/>
              </w:rPr>
              <w:t>Training</w:t>
            </w:r>
          </w:p>
        </w:tc>
      </w:tr>
      <w:tr w:rsidR="00391E0D" w14:paraId="0F86DFE9" w14:textId="77777777">
        <w:tc>
          <w:tcPr>
            <w:tcW w:w="5860" w:type="dxa"/>
            <w:shd w:val="clear" w:color="auto" w:fill="F2F5FA"/>
            <w:tcMar>
              <w:top w:w="90" w:type="dxa"/>
              <w:left w:w="130" w:type="dxa"/>
              <w:bottom w:w="90" w:type="dxa"/>
              <w:right w:w="130" w:type="dxa"/>
            </w:tcMar>
            <w:vAlign w:val="center"/>
          </w:tcPr>
          <w:p w14:paraId="69C8848B" w14:textId="72838BBD" w:rsidR="00391E0D" w:rsidRDefault="00072DB8">
            <w:pPr>
              <w:spacing w:line="260" w:lineRule="auto"/>
            </w:pPr>
            <w:r>
              <w:rPr>
                <w:b/>
                <w:bCs/>
                <w:color w:val="000000"/>
                <w:sz w:val="19"/>
                <w:szCs w:val="19"/>
              </w:rPr>
              <w:t xml:space="preserve">D4102 &lt;&gt; </w:t>
            </w:r>
            <w:r w:rsidR="000C245A">
              <w:rPr>
                <w:b/>
                <w:bCs/>
                <w:color w:val="000000"/>
                <w:sz w:val="19"/>
                <w:szCs w:val="19"/>
              </w:rPr>
              <w:t>GLAMOUR</w:t>
            </w:r>
            <w:r>
              <w:rPr>
                <w:b/>
                <w:bCs/>
                <w:color w:val="000000"/>
                <w:sz w:val="19"/>
                <w:szCs w:val="19"/>
              </w:rPr>
              <w:t xml:space="preserve"> &lt;&gt; black-disc</w:t>
            </w:r>
          </w:p>
        </w:tc>
        <w:tc>
          <w:tcPr>
            <w:tcW w:w="3500" w:type="dxa"/>
            <w:shd w:val="clear" w:color="auto" w:fill="F2F5FA"/>
            <w:tcMar>
              <w:top w:w="90" w:type="dxa"/>
              <w:left w:w="130" w:type="dxa"/>
              <w:bottom w:w="90" w:type="dxa"/>
              <w:right w:w="130" w:type="dxa"/>
            </w:tcMar>
            <w:vAlign w:val="center"/>
          </w:tcPr>
          <w:p w14:paraId="4C91C6DD" w14:textId="77777777" w:rsidR="00391E0D" w:rsidRDefault="00072DB8">
            <w:pPr>
              <w:spacing w:line="260" w:lineRule="auto"/>
            </w:pPr>
            <w:r>
              <w:rPr>
                <w:color w:val="000000"/>
                <w:sz w:val="19"/>
                <w:szCs w:val="19"/>
              </w:rPr>
              <w:t>Training</w:t>
            </w:r>
          </w:p>
        </w:tc>
      </w:tr>
    </w:tbl>
    <w:p w14:paraId="44489608" w14:textId="57803A3D" w:rsidR="00391E0D" w:rsidRDefault="00072DB8">
      <w:pPr>
        <w:spacing w:after="120" w:line="276" w:lineRule="auto"/>
      </w:pPr>
      <w:r>
        <w:rPr>
          <w:color w:val="000000"/>
        </w:rPr>
        <w:t xml:space="preserve">All three </w:t>
      </w:r>
      <w:r w:rsidR="000C245A">
        <w:rPr>
          <w:color w:val="000000"/>
        </w:rPr>
        <w:t>DESTINI</w:t>
      </w:r>
      <w:r>
        <w:rPr>
          <w:color w:val="000000"/>
        </w:rPr>
        <w:t xml:space="preserve"> variants travel together, so none of them has a near-twin sitting in the training set. Meanwhile the dealer itself is still well known to the model through its </w:t>
      </w:r>
      <w:r w:rsidR="000C245A">
        <w:rPr>
          <w:color w:val="000000"/>
        </w:rPr>
        <w:t>SPLENDOR</w:t>
      </w:r>
      <w:r>
        <w:rPr>
          <w:color w:val="000000"/>
        </w:rPr>
        <w:t xml:space="preserve"> and </w:t>
      </w:r>
      <w:r w:rsidR="000C245A">
        <w:rPr>
          <w:color w:val="000000"/>
        </w:rPr>
        <w:t>GLAMOUR</w:t>
      </w:r>
      <w:r>
        <w:rPr>
          <w:color w:val="000000"/>
        </w:rPr>
        <w:t xml:space="preserve"> series.</w:t>
      </w:r>
    </w:p>
    <w:p w14:paraId="2FB08713" w14:textId="77777777" w:rsidR="00391E0D" w:rsidRDefault="00072DB8">
      <w:pPr>
        <w:spacing w:after="120" w:line="276" w:lineRule="auto"/>
      </w:pPr>
      <w:r>
        <w:rPr>
          <w:color w:val="000000"/>
        </w:rPr>
        <w:lastRenderedPageBreak/>
        <w:t>That balance is deliberate. Holding out whole dealers instead would test how the model performs on a dealer it has never seen — but at deployment every dealer is in the training set, so that would be measuring the wrong thing and would rank versions of the model incorrectly.</w:t>
      </w:r>
    </w:p>
    <w:p w14:paraId="223AB966" w14:textId="77777777" w:rsidR="00391E0D" w:rsidRDefault="00072DB8">
      <w:pPr>
        <w:pStyle w:val="Heading3"/>
        <w:spacing w:before="180" w:after="80"/>
      </w:pPr>
      <w:r>
        <w:rPr>
          <w:b/>
          <w:bCs/>
          <w:color w:val="1F3864"/>
          <w:sz w:val="22"/>
          <w:szCs w:val="22"/>
        </w:rPr>
        <w:t>Step 6 — What the validation series are used for</w:t>
      </w:r>
    </w:p>
    <w:p w14:paraId="41E73B32" w14:textId="77777777" w:rsidR="00391E0D" w:rsidRDefault="00072DB8">
      <w:pPr>
        <w:spacing w:after="120" w:line="276" w:lineRule="auto"/>
      </w:pPr>
      <w:r>
        <w:rPr>
          <w:color w:val="000000"/>
        </w:rPr>
        <w:t>Each held-out group is given a 365-day lookback window from Sep 2024 to Aug 2025, and asked to forecast the 101 days from 1 Sep to 10 Dec 2025. Its predictions are compared against what actually happened over that festive period.</w:t>
      </w:r>
    </w:p>
    <w:p w14:paraId="5ED6CF65" w14:textId="77777777" w:rsidR="00391E0D" w:rsidRDefault="00072DB8">
      <w:pPr>
        <w:spacing w:after="120" w:line="276" w:lineRule="auto"/>
      </w:pPr>
      <w:r>
        <w:rPr>
          <w:color w:val="000000"/>
        </w:rPr>
        <w:t>That comparison is what decides which version of the model to keep. It is the festive signal the current setup does not have.</w:t>
      </w:r>
    </w:p>
    <w:p w14:paraId="71DF348C" w14:textId="77777777" w:rsidR="00391E0D" w:rsidRDefault="00072DB8">
      <w:pPr>
        <w:pStyle w:val="Heading3"/>
        <w:spacing w:before="180" w:after="80"/>
      </w:pPr>
      <w:r>
        <w:rPr>
          <w:b/>
          <w:bCs/>
          <w:color w:val="1F3864"/>
          <w:sz w:val="22"/>
          <w:szCs w:val="22"/>
        </w:rPr>
        <w:t>In code</w:t>
      </w:r>
    </w:p>
    <w:tbl>
      <w:tblPr>
        <w:tblW w:w="936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60"/>
      </w:tblGrid>
      <w:tr w:rsidR="00391E0D" w14:paraId="19A3AAF8" w14:textId="77777777">
        <w:tc>
          <w:tcPr>
            <w:tcW w:w="9360" w:type="dxa"/>
            <w:shd w:val="clear" w:color="auto" w:fill="F7F7F7"/>
            <w:tcMar>
              <w:top w:w="120" w:type="dxa"/>
              <w:left w:w="180" w:type="dxa"/>
              <w:bottom w:w="120" w:type="dxa"/>
              <w:right w:w="120" w:type="dxa"/>
            </w:tcMar>
          </w:tcPr>
          <w:p w14:paraId="1AEFDD6A" w14:textId="77777777" w:rsidR="00391E0D" w:rsidRDefault="00072DB8">
            <w:pPr>
              <w:spacing w:after="20"/>
            </w:pPr>
            <w:proofErr w:type="spellStart"/>
            <w:r>
              <w:rPr>
                <w:rFonts w:ascii="Consolas" w:eastAsia="Consolas" w:hAnsi="Consolas" w:cs="Consolas"/>
                <w:sz w:val="18"/>
                <w:szCs w:val="18"/>
              </w:rPr>
              <w:t>group_key</w:t>
            </w:r>
            <w:proofErr w:type="spellEnd"/>
            <w:r>
              <w:rPr>
                <w:rFonts w:ascii="Consolas" w:eastAsia="Consolas" w:hAnsi="Consolas" w:cs="Consolas"/>
                <w:sz w:val="18"/>
                <w:szCs w:val="18"/>
              </w:rPr>
              <w:t xml:space="preserve"> = PARENT_DEALER_CODE + "&lt;&gt;" + MODEL_FAMILY</w:t>
            </w:r>
          </w:p>
          <w:p w14:paraId="7F0DFD67" w14:textId="77777777" w:rsidR="00391E0D" w:rsidRDefault="00072DB8">
            <w:pPr>
              <w:spacing w:after="20"/>
            </w:pPr>
            <w:r>
              <w:rPr>
                <w:rFonts w:ascii="Consolas" w:eastAsia="Consolas" w:hAnsi="Consolas" w:cs="Consolas"/>
                <w:sz w:val="18"/>
                <w:szCs w:val="18"/>
              </w:rPr>
              <w:t xml:space="preserve">grp       = </w:t>
            </w:r>
            <w:proofErr w:type="spellStart"/>
            <w:r>
              <w:rPr>
                <w:rFonts w:ascii="Consolas" w:eastAsia="Consolas" w:hAnsi="Consolas" w:cs="Consolas"/>
                <w:sz w:val="18"/>
                <w:szCs w:val="18"/>
              </w:rPr>
              <w:t>df.groupby</w:t>
            </w:r>
            <w:proofErr w:type="spellEnd"/>
            <w:r>
              <w:rPr>
                <w:rFonts w:ascii="Consolas" w:eastAsia="Consolas" w:hAnsi="Consolas" w:cs="Consolas"/>
                <w:sz w:val="18"/>
                <w:szCs w:val="18"/>
              </w:rPr>
              <w:t>(</w:t>
            </w:r>
            <w:proofErr w:type="spellStart"/>
            <w:r>
              <w:rPr>
                <w:rFonts w:ascii="Consolas" w:eastAsia="Consolas" w:hAnsi="Consolas" w:cs="Consolas"/>
                <w:sz w:val="18"/>
                <w:szCs w:val="18"/>
              </w:rPr>
              <w:t>group_key</w:t>
            </w:r>
            <w:proofErr w:type="spellEnd"/>
            <w:r>
              <w:rPr>
                <w:rFonts w:ascii="Consolas" w:eastAsia="Consolas" w:hAnsi="Consolas" w:cs="Consolas"/>
                <w:sz w:val="18"/>
                <w:szCs w:val="18"/>
              </w:rPr>
              <w:t>)["NET_SALES"].sum()   # Sep-Dec volume</w:t>
            </w:r>
          </w:p>
          <w:p w14:paraId="56BF46B6" w14:textId="77777777" w:rsidR="00391E0D" w:rsidRDefault="00072DB8">
            <w:pPr>
              <w:spacing w:after="20"/>
            </w:pPr>
            <w:r>
              <w:rPr>
                <w:rFonts w:ascii="Consolas" w:eastAsia="Consolas" w:hAnsi="Consolas" w:cs="Consolas"/>
                <w:sz w:val="18"/>
                <w:szCs w:val="18"/>
              </w:rPr>
              <w:t xml:space="preserve">bucket    = </w:t>
            </w:r>
            <w:proofErr w:type="spellStart"/>
            <w:r>
              <w:rPr>
                <w:rFonts w:ascii="Consolas" w:eastAsia="Consolas" w:hAnsi="Consolas" w:cs="Consolas"/>
                <w:sz w:val="18"/>
                <w:szCs w:val="18"/>
              </w:rPr>
              <w:t>pd.qcut</w:t>
            </w:r>
            <w:proofErr w:type="spellEnd"/>
            <w:r>
              <w:rPr>
                <w:rFonts w:ascii="Consolas" w:eastAsia="Consolas" w:hAnsi="Consolas" w:cs="Consolas"/>
                <w:sz w:val="18"/>
                <w:szCs w:val="18"/>
              </w:rPr>
              <w:t>(grp, 10, labels=False, duplicates="drop")</w:t>
            </w:r>
          </w:p>
          <w:p w14:paraId="03089C59" w14:textId="77777777" w:rsidR="00391E0D" w:rsidRDefault="00072DB8">
            <w:pPr>
              <w:spacing w:after="20"/>
            </w:pPr>
            <w:r>
              <w:rPr>
                <w:rFonts w:ascii="Consolas" w:eastAsia="Consolas" w:hAnsi="Consolas" w:cs="Consolas"/>
                <w:sz w:val="18"/>
                <w:szCs w:val="18"/>
              </w:rPr>
              <w:t xml:space="preserve">strata    = </w:t>
            </w:r>
            <w:proofErr w:type="spellStart"/>
            <w:r>
              <w:rPr>
                <w:rFonts w:ascii="Consolas" w:eastAsia="Consolas" w:hAnsi="Consolas" w:cs="Consolas"/>
                <w:sz w:val="18"/>
                <w:szCs w:val="18"/>
              </w:rPr>
              <w:t>model_family</w:t>
            </w:r>
            <w:proofErr w:type="spellEnd"/>
            <w:r>
              <w:rPr>
                <w:rFonts w:ascii="Consolas" w:eastAsia="Consolas" w:hAnsi="Consolas" w:cs="Consolas"/>
                <w:sz w:val="18"/>
                <w:szCs w:val="18"/>
              </w:rPr>
              <w:t xml:space="preserve"> + "|" + </w:t>
            </w:r>
            <w:proofErr w:type="spellStart"/>
            <w:r>
              <w:rPr>
                <w:rFonts w:ascii="Consolas" w:eastAsia="Consolas" w:hAnsi="Consolas" w:cs="Consolas"/>
                <w:sz w:val="18"/>
                <w:szCs w:val="18"/>
              </w:rPr>
              <w:t>bucket.astype</w:t>
            </w:r>
            <w:proofErr w:type="spellEnd"/>
            <w:r>
              <w:rPr>
                <w:rFonts w:ascii="Consolas" w:eastAsia="Consolas" w:hAnsi="Consolas" w:cs="Consolas"/>
                <w:sz w:val="18"/>
                <w:szCs w:val="18"/>
              </w:rPr>
              <w:t>(</w:t>
            </w:r>
            <w:proofErr w:type="spellStart"/>
            <w:r>
              <w:rPr>
                <w:rFonts w:ascii="Consolas" w:eastAsia="Consolas" w:hAnsi="Consolas" w:cs="Consolas"/>
                <w:sz w:val="18"/>
                <w:szCs w:val="18"/>
              </w:rPr>
              <w:t>str</w:t>
            </w:r>
            <w:proofErr w:type="spellEnd"/>
            <w:r>
              <w:rPr>
                <w:rFonts w:ascii="Consolas" w:eastAsia="Consolas" w:hAnsi="Consolas" w:cs="Consolas"/>
                <w:sz w:val="18"/>
                <w:szCs w:val="18"/>
              </w:rPr>
              <w:t>)</w:t>
            </w:r>
          </w:p>
          <w:p w14:paraId="7C62A8D8" w14:textId="77777777" w:rsidR="00391E0D" w:rsidRDefault="00391E0D">
            <w:pPr>
              <w:spacing w:after="20"/>
            </w:pPr>
          </w:p>
          <w:p w14:paraId="6FF44E3F" w14:textId="77777777" w:rsidR="00391E0D" w:rsidRDefault="00072DB8">
            <w:pPr>
              <w:spacing w:after="20"/>
            </w:pPr>
            <w:proofErr w:type="spellStart"/>
            <w:r>
              <w:rPr>
                <w:rFonts w:ascii="Consolas" w:eastAsia="Consolas" w:hAnsi="Consolas" w:cs="Consolas"/>
                <w:sz w:val="18"/>
                <w:szCs w:val="18"/>
              </w:rPr>
              <w:t>train_grp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val_grp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train_test_split</w:t>
            </w:r>
            <w:proofErr w:type="spellEnd"/>
            <w:r>
              <w:rPr>
                <w:rFonts w:ascii="Consolas" w:eastAsia="Consolas" w:hAnsi="Consolas" w:cs="Consolas"/>
                <w:sz w:val="18"/>
                <w:szCs w:val="18"/>
              </w:rPr>
              <w:t>(</w:t>
            </w:r>
          </w:p>
          <w:p w14:paraId="0A6AA753" w14:textId="77777777" w:rsidR="00391E0D" w:rsidRDefault="00072DB8">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grp.index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test_size</w:t>
            </w:r>
            <w:proofErr w:type="spellEnd"/>
            <w:r>
              <w:rPr>
                <w:rFonts w:ascii="Consolas" w:eastAsia="Consolas" w:hAnsi="Consolas" w:cs="Consolas"/>
                <w:sz w:val="18"/>
                <w:szCs w:val="18"/>
              </w:rPr>
              <w:t xml:space="preserve">=0.15, stratify=strata,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p>
          <w:p w14:paraId="38A1C5F0" w14:textId="77777777" w:rsidR="00391E0D" w:rsidRDefault="00391E0D">
            <w:pPr>
              <w:spacing w:after="20"/>
            </w:pPr>
          </w:p>
          <w:p w14:paraId="3133572A" w14:textId="77777777" w:rsidR="00391E0D" w:rsidRDefault="00072DB8">
            <w:pPr>
              <w:spacing w:after="20"/>
            </w:pPr>
            <w:r>
              <w:rPr>
                <w:rFonts w:ascii="Consolas" w:eastAsia="Consolas" w:hAnsi="Consolas" w:cs="Consolas"/>
                <w:sz w:val="18"/>
                <w:szCs w:val="18"/>
              </w:rPr>
              <w:t xml:space="preserve"># every series whose group is in </w:t>
            </w:r>
            <w:proofErr w:type="spellStart"/>
            <w:r>
              <w:rPr>
                <w:rFonts w:ascii="Consolas" w:eastAsia="Consolas" w:hAnsi="Consolas" w:cs="Consolas"/>
                <w:sz w:val="18"/>
                <w:szCs w:val="18"/>
              </w:rPr>
              <w:t>val_grp</w:t>
            </w:r>
            <w:proofErr w:type="spellEnd"/>
            <w:r>
              <w:rPr>
                <w:rFonts w:ascii="Consolas" w:eastAsia="Consolas" w:hAnsi="Consolas" w:cs="Consolas"/>
                <w:sz w:val="18"/>
                <w:szCs w:val="18"/>
              </w:rPr>
              <w:t xml:space="preserve"> goes to validation</w:t>
            </w:r>
          </w:p>
        </w:tc>
      </w:tr>
    </w:tbl>
    <w:p w14:paraId="36E2B53A" w14:textId="77777777" w:rsidR="00391E0D" w:rsidRDefault="00072DB8">
      <w:pPr>
        <w:spacing w:after="120" w:line="276" w:lineRule="auto"/>
      </w:pPr>
      <w:r>
        <w:rPr>
          <w:color w:val="000000"/>
        </w:rPr>
        <w:t>Two practical notes. Where many groups share the same volume — a lot of zeros, or a lot of ones — the bucket edges cannot be drawn cleanly, which is what duplicates="drop" handles; the result may have fewer than ten buckets. And for any family with fewer than roughly twenty groups, stratify on the size bucket alone, otherwise some combinations will contain a single group and the split will fail.</w:t>
      </w:r>
    </w:p>
    <w:p w14:paraId="324F3056" w14:textId="77777777" w:rsidR="00391E0D" w:rsidRDefault="00072DB8">
      <w:pPr>
        <w:pStyle w:val="Heading2"/>
        <w:spacing w:before="260" w:after="120"/>
      </w:pPr>
      <w:r>
        <w:rPr>
          <w:b/>
          <w:bCs/>
          <w:sz w:val="25"/>
          <w:szCs w:val="25"/>
        </w:rPr>
        <w:t>2.5  Checks before launching a training run</w:t>
      </w:r>
    </w:p>
    <w:p w14:paraId="22FE2AE9" w14:textId="77777777" w:rsidR="00391E0D" w:rsidRDefault="00072DB8">
      <w:pPr>
        <w:pStyle w:val="ListParagraph"/>
        <w:numPr>
          <w:ilvl w:val="0"/>
          <w:numId w:val="2"/>
        </w:numPr>
        <w:spacing w:after="70" w:line="276" w:lineRule="auto"/>
      </w:pPr>
      <w:r>
        <w:t>No dealer and model-family combination appears in both lists. Any match is usually a whitespace or casing mismatch in the key.</w:t>
      </w:r>
    </w:p>
    <w:p w14:paraId="0BC0F40E" w14:textId="77777777" w:rsidR="00391E0D" w:rsidRDefault="00072DB8">
      <w:pPr>
        <w:pStyle w:val="ListParagraph"/>
        <w:numPr>
          <w:ilvl w:val="0"/>
          <w:numId w:val="2"/>
        </w:numPr>
        <w:spacing w:after="70" w:line="276" w:lineRule="auto"/>
      </w:pPr>
      <w:r>
        <w:t>The validation set holds roughly 15% of Sep–Dec volume, not merely 15% of group count. If it is at 4%, the size buckets were not applied correctly.</w:t>
      </w:r>
    </w:p>
    <w:p w14:paraId="045F7489" w14:textId="77777777" w:rsidR="00391E0D" w:rsidRDefault="00072DB8">
      <w:pPr>
        <w:pStyle w:val="ListParagraph"/>
        <w:numPr>
          <w:ilvl w:val="0"/>
          <w:numId w:val="2"/>
        </w:numPr>
        <w:spacing w:after="70" w:line="276" w:lineRule="auto"/>
      </w:pPr>
      <w:r>
        <w:t>Per-family training and validation counts printed and reviewed. No family should be absent from training.</w:t>
      </w:r>
    </w:p>
    <w:p w14:paraId="5D066F21" w14:textId="77777777" w:rsidR="00391E0D" w:rsidRDefault="00072DB8">
      <w:pPr>
        <w:pStyle w:val="ListParagraph"/>
        <w:numPr>
          <w:ilvl w:val="0"/>
          <w:numId w:val="2"/>
        </w:numPr>
        <w:spacing w:after="70" w:line="276" w:lineRule="auto"/>
      </w:pPr>
      <w:r>
        <w:t>A group only enters the validation pool if it has 365 lookback days plus the forecast window ending 10 Dec 2025 — history back to Dec 2023. Newer series can still train; they simply cannot validate.</w:t>
      </w:r>
    </w:p>
    <w:p w14:paraId="5AE22A24" w14:textId="77777777" w:rsidR="00391E0D" w:rsidRDefault="00072DB8">
      <w:pPr>
        <w:pStyle w:val="ListParagraph"/>
        <w:numPr>
          <w:ilvl w:val="0"/>
          <w:numId w:val="2"/>
        </w:numPr>
        <w:spacing w:after="70" w:line="276" w:lineRule="auto"/>
      </w:pPr>
      <w:r>
        <w:t>Groups with no sales at all across Sep–Dec 2025 are excluded from validation, since a target of zero everywhere is trivially satisfied and dilutes the signal.</w:t>
      </w:r>
    </w:p>
    <w:p w14:paraId="31778929" w14:textId="77777777" w:rsidR="00391E0D" w:rsidRDefault="00072DB8">
      <w:pPr>
        <w:pStyle w:val="Heading2"/>
        <w:spacing w:before="260" w:after="120"/>
      </w:pPr>
      <w:r>
        <w:rPr>
          <w:b/>
          <w:bCs/>
          <w:sz w:val="25"/>
          <w:szCs w:val="25"/>
        </w:rPr>
        <w:t>2.6  Known limitation, stated up front</w:t>
      </w:r>
    </w:p>
    <w:p w14:paraId="51D5BAD1" w14:textId="77777777" w:rsidR="00391E0D" w:rsidRDefault="00072DB8">
      <w:pPr>
        <w:spacing w:after="120" w:line="276" w:lineRule="auto"/>
      </w:pPr>
      <w:r>
        <w:rPr>
          <w:color w:val="000000"/>
        </w:rPr>
        <w:t>Two model families at the same dealer are not fully independent. They share footfall, local festive timing and the same sales staff. So a dealer's training families still leak some information about its held-out families, and validation loss will read slightly optimistic.</w:t>
      </w:r>
    </w:p>
    <w:p w14:paraId="0F6CC45D" w14:textId="77777777" w:rsidR="00391E0D" w:rsidRDefault="00072DB8">
      <w:pPr>
        <w:spacing w:after="120" w:line="276" w:lineRule="auto"/>
      </w:pPr>
      <w:r>
        <w:rPr>
          <w:color w:val="000000"/>
        </w:rPr>
        <w:t>This is a deliberate trade. Holding out entire dealers would remove that leak but would measure cold-start performance, which is not our deployment condition. We accept a small, known, documented bias instead of a large and misleading one.</w:t>
      </w:r>
    </w:p>
    <w:p w14:paraId="5AB5CE7E" w14:textId="77777777" w:rsidR="00391E0D" w:rsidRDefault="00072DB8">
      <w:pPr>
        <w:spacing w:after="60" w:line="276" w:lineRule="auto"/>
      </w:pPr>
      <w:r>
        <w:rPr>
          <w:color w:val="000000"/>
        </w:rPr>
        <w:lastRenderedPageBreak/>
        <w:t>A second limitation is more fundamental. This design validates generalisation across series, whereas the real risk is generalisation across time into a festive season under a shifting demand regime. No split constructible from available data tests the latter, because it would require a 2026 festive season we do not have. What the change buys is a checkpoint-selection signal containing festive dynamics, versus one containing none. That is a material improvement, not a complete solution — and it is why Priority 7 exists.</w:t>
      </w:r>
    </w:p>
    <w:p w14:paraId="0BBFA625" w14:textId="77777777" w:rsidR="00391E0D" w:rsidRDefault="00072DB8">
      <w:r>
        <w:br w:type="page"/>
      </w:r>
    </w:p>
    <w:p w14:paraId="5255A245" w14:textId="77777777" w:rsidR="00391E0D" w:rsidRDefault="00072DB8">
      <w:pPr>
        <w:pStyle w:val="Heading1"/>
        <w:spacing w:before="360" w:after="160"/>
      </w:pPr>
      <w:r>
        <w:rPr>
          <w:b/>
          <w:bCs/>
          <w:color w:val="1F3864"/>
          <w:sz w:val="30"/>
          <w:szCs w:val="30"/>
        </w:rPr>
        <w:lastRenderedPageBreak/>
        <w:t>3. Priority 2 — Replace Per-Series Min-Max Scaling</w:t>
      </w:r>
    </w:p>
    <w:p w14:paraId="3A3F2030" w14:textId="77777777" w:rsidR="00391E0D" w:rsidRDefault="00072DB8">
      <w:pPr>
        <w:pStyle w:val="Heading2"/>
        <w:spacing w:before="260" w:after="120"/>
      </w:pPr>
      <w:r>
        <w:rPr>
          <w:b/>
          <w:bCs/>
          <w:sz w:val="25"/>
          <w:szCs w:val="25"/>
        </w:rPr>
        <w:t>3.1  What is wrong</w:t>
      </w:r>
    </w:p>
    <w:p w14:paraId="22C2933A" w14:textId="77777777" w:rsidR="00391E0D" w:rsidRDefault="00072DB8">
      <w:pPr>
        <w:spacing w:after="120" w:line="276" w:lineRule="auto"/>
      </w:pPr>
      <w:r>
        <w:rPr>
          <w:color w:val="000000"/>
        </w:rPr>
        <w:t>Each series is scaled by its own training-window minimum and maximum:</w:t>
      </w:r>
    </w:p>
    <w:tbl>
      <w:tblPr>
        <w:tblW w:w="936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60"/>
      </w:tblGrid>
      <w:tr w:rsidR="00391E0D" w14:paraId="38DDA737" w14:textId="77777777">
        <w:tc>
          <w:tcPr>
            <w:tcW w:w="9360" w:type="dxa"/>
            <w:shd w:val="clear" w:color="auto" w:fill="F7F7F7"/>
            <w:tcMar>
              <w:top w:w="120" w:type="dxa"/>
              <w:left w:w="180" w:type="dxa"/>
              <w:bottom w:w="120" w:type="dxa"/>
              <w:right w:w="120" w:type="dxa"/>
            </w:tcMar>
          </w:tcPr>
          <w:p w14:paraId="1D96DDFB" w14:textId="77777777" w:rsidR="00391E0D" w:rsidRDefault="00072DB8">
            <w:pPr>
              <w:spacing w:after="20"/>
            </w:pPr>
            <w:r>
              <w:rPr>
                <w:rFonts w:ascii="Consolas" w:eastAsia="Consolas" w:hAnsi="Consolas" w:cs="Consolas"/>
                <w:sz w:val="18"/>
                <w:szCs w:val="18"/>
              </w:rPr>
              <w:t>lo = float(</w:t>
            </w:r>
            <w:proofErr w:type="spellStart"/>
            <w:r>
              <w:rPr>
                <w:rFonts w:ascii="Consolas" w:eastAsia="Consolas" w:hAnsi="Consolas" w:cs="Consolas"/>
                <w:sz w:val="18"/>
                <w:szCs w:val="18"/>
              </w:rPr>
              <w:t>tr_sales.min</w:t>
            </w:r>
            <w:proofErr w:type="spellEnd"/>
            <w:r>
              <w:rPr>
                <w:rFonts w:ascii="Consolas" w:eastAsia="Consolas" w:hAnsi="Consolas" w:cs="Consolas"/>
                <w:sz w:val="18"/>
                <w:szCs w:val="18"/>
              </w:rPr>
              <w:t>())     # almost always 0</w:t>
            </w:r>
          </w:p>
          <w:p w14:paraId="3FCEABB8" w14:textId="77777777" w:rsidR="00391E0D" w:rsidRDefault="00072DB8">
            <w:pPr>
              <w:spacing w:after="20"/>
            </w:pPr>
            <w:r>
              <w:rPr>
                <w:rFonts w:ascii="Consolas" w:eastAsia="Consolas" w:hAnsi="Consolas" w:cs="Consolas"/>
                <w:sz w:val="18"/>
                <w:szCs w:val="18"/>
              </w:rPr>
              <w:t>hi = float(</w:t>
            </w:r>
            <w:proofErr w:type="spellStart"/>
            <w:r>
              <w:rPr>
                <w:rFonts w:ascii="Consolas" w:eastAsia="Consolas" w:hAnsi="Consolas" w:cs="Consolas"/>
                <w:sz w:val="18"/>
                <w:szCs w:val="18"/>
              </w:rPr>
              <w:t>tr_sales.max</w:t>
            </w:r>
            <w:proofErr w:type="spellEnd"/>
            <w:r>
              <w:rPr>
                <w:rFonts w:ascii="Consolas" w:eastAsia="Consolas" w:hAnsi="Consolas" w:cs="Consolas"/>
                <w:sz w:val="18"/>
                <w:szCs w:val="18"/>
              </w:rPr>
              <w:t>())     # a single festive spike</w:t>
            </w:r>
          </w:p>
          <w:p w14:paraId="769E7AE5" w14:textId="77777777" w:rsidR="00391E0D" w:rsidRDefault="00072DB8">
            <w:pPr>
              <w:spacing w:after="20"/>
            </w:pPr>
            <w:r>
              <w:rPr>
                <w:rFonts w:ascii="Consolas" w:eastAsia="Consolas" w:hAnsi="Consolas" w:cs="Consolas"/>
                <w:sz w:val="18"/>
                <w:szCs w:val="18"/>
              </w:rPr>
              <w:t>scaled = (sales - lo) / (hi - lo)</w:t>
            </w:r>
          </w:p>
        </w:tc>
      </w:tr>
    </w:tbl>
    <w:p w14:paraId="2A64C4EB" w14:textId="77777777" w:rsidR="00391E0D" w:rsidRDefault="00072DB8">
      <w:pPr>
        <w:spacing w:after="120" w:line="276" w:lineRule="auto"/>
      </w:pPr>
      <w:r>
        <w:rPr>
          <w:color w:val="000000"/>
        </w:rPr>
        <w:t>For a daily dealer-variant series the minimum is zero on most series and the maximum is one extreme festive day. The entire scale is therefore set by a single outlier.</w:t>
      </w:r>
    </w:p>
    <w:tbl>
      <w:tblPr>
        <w:tblW w:w="9360" w:type="dxa"/>
        <w:tblBorders>
          <w:top w:val="single" w:sz="2" w:space="0" w:color="FFF4E5"/>
          <w:left w:val="single" w:sz="18" w:space="0" w:color="B26B00"/>
          <w:bottom w:val="single" w:sz="2" w:space="0" w:color="FFF4E5"/>
          <w:right w:val="single" w:sz="2" w:space="0" w:color="FFF4E5"/>
        </w:tblBorders>
        <w:tblCellMar>
          <w:left w:w="10" w:type="dxa"/>
          <w:right w:w="10" w:type="dxa"/>
        </w:tblCellMar>
        <w:tblLook w:val="04A0" w:firstRow="1" w:lastRow="0" w:firstColumn="1" w:lastColumn="0" w:noHBand="0" w:noVBand="1"/>
      </w:tblPr>
      <w:tblGrid>
        <w:gridCol w:w="9360"/>
      </w:tblGrid>
      <w:tr w:rsidR="00391E0D" w14:paraId="31E844B1" w14:textId="77777777">
        <w:tc>
          <w:tcPr>
            <w:tcW w:w="9360" w:type="dxa"/>
            <w:shd w:val="clear" w:color="auto" w:fill="FFF4E5"/>
            <w:tcMar>
              <w:top w:w="160" w:type="dxa"/>
              <w:left w:w="200" w:type="dxa"/>
              <w:bottom w:w="160" w:type="dxa"/>
              <w:right w:w="200" w:type="dxa"/>
            </w:tcMar>
          </w:tcPr>
          <w:p w14:paraId="76E34056" w14:textId="77777777" w:rsidR="00391E0D" w:rsidRDefault="00072DB8">
            <w:pPr>
              <w:spacing w:after="80"/>
            </w:pPr>
            <w:r>
              <w:rPr>
                <w:b/>
                <w:bCs/>
                <w:color w:val="B26B00"/>
              </w:rPr>
              <w:t>The mechanism behind the underprediction</w:t>
            </w:r>
          </w:p>
          <w:p w14:paraId="072822B3" w14:textId="77777777" w:rsidR="00391E0D" w:rsidRDefault="00072DB8">
            <w:pPr>
              <w:spacing w:after="60" w:line="264" w:lineRule="auto"/>
            </w:pPr>
            <w:r>
              <w:rPr>
                <w:sz w:val="20"/>
                <w:szCs w:val="20"/>
              </w:rPr>
              <w:t>After scaling, the target is a large mass at or near zero with a rare value of 1.0. Ordinary trading days compress into a narrow band just above zero.</w:t>
            </w:r>
          </w:p>
          <w:p w14:paraId="29C7DF75" w14:textId="77777777" w:rsidR="00391E0D" w:rsidRDefault="00072DB8">
            <w:pPr>
              <w:spacing w:after="60" w:line="264" w:lineRule="auto"/>
            </w:pPr>
            <w:r>
              <w:rPr>
                <w:sz w:val="20"/>
                <w:szCs w:val="20"/>
              </w:rPr>
              <w:t>A squared-error objective on that distribution converges towards a small value, because predicting near-zero is correct on the overwhelming majority of days. When the scaling is inverted, high-volume series come back systematically low — precisely at the peaks.</w:t>
            </w:r>
          </w:p>
          <w:p w14:paraId="73D44858" w14:textId="77777777" w:rsidR="00391E0D" w:rsidRDefault="00072DB8">
            <w:pPr>
              <w:spacing w:after="60" w:line="264" w:lineRule="auto"/>
            </w:pPr>
            <w:r>
              <w:rPr>
                <w:sz w:val="20"/>
                <w:szCs w:val="20"/>
              </w:rPr>
              <w:t>There is a second effect: any validation actual above the training maximum scales above 1.0, which changes which branch of the Huber loss is active and makes loss values across configurations non-comparable.</w:t>
            </w:r>
          </w:p>
        </w:tc>
      </w:tr>
    </w:tbl>
    <w:p w14:paraId="36A0035B" w14:textId="77777777" w:rsidR="00391E0D" w:rsidRDefault="00072DB8">
      <w:pPr>
        <w:pStyle w:val="Heading2"/>
        <w:spacing w:before="260" w:after="120"/>
      </w:pPr>
      <w:r>
        <w:rPr>
          <w:b/>
          <w:bCs/>
          <w:sz w:val="25"/>
          <w:szCs w:val="25"/>
        </w:rPr>
        <w:t>3.2  What to change</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600"/>
        <w:gridCol w:w="3700"/>
        <w:gridCol w:w="4060"/>
      </w:tblGrid>
      <w:tr w:rsidR="00391E0D" w14:paraId="4AE2C96F" w14:textId="77777777">
        <w:trPr>
          <w:tblHeader/>
        </w:trPr>
        <w:tc>
          <w:tcPr>
            <w:tcW w:w="1600" w:type="dxa"/>
            <w:shd w:val="clear" w:color="auto" w:fill="1F3864"/>
            <w:tcMar>
              <w:top w:w="90" w:type="dxa"/>
              <w:left w:w="130" w:type="dxa"/>
              <w:bottom w:w="90" w:type="dxa"/>
              <w:right w:w="130" w:type="dxa"/>
            </w:tcMar>
            <w:vAlign w:val="center"/>
          </w:tcPr>
          <w:p w14:paraId="33AD97B8" w14:textId="77777777" w:rsidR="00391E0D" w:rsidRDefault="00072DB8">
            <w:pPr>
              <w:spacing w:line="260" w:lineRule="auto"/>
            </w:pPr>
            <w:r>
              <w:rPr>
                <w:b/>
                <w:bCs/>
                <w:color w:val="FFFFFF"/>
                <w:sz w:val="19"/>
                <w:szCs w:val="19"/>
              </w:rPr>
              <w:t>Option</w:t>
            </w:r>
          </w:p>
        </w:tc>
        <w:tc>
          <w:tcPr>
            <w:tcW w:w="3700" w:type="dxa"/>
            <w:shd w:val="clear" w:color="auto" w:fill="1F3864"/>
            <w:tcMar>
              <w:top w:w="90" w:type="dxa"/>
              <w:left w:w="130" w:type="dxa"/>
              <w:bottom w:w="90" w:type="dxa"/>
              <w:right w:w="130" w:type="dxa"/>
            </w:tcMar>
            <w:vAlign w:val="center"/>
          </w:tcPr>
          <w:p w14:paraId="25A249A2" w14:textId="77777777" w:rsidR="00391E0D" w:rsidRDefault="00072DB8">
            <w:pPr>
              <w:spacing w:line="260" w:lineRule="auto"/>
            </w:pPr>
            <w:r>
              <w:rPr>
                <w:b/>
                <w:bCs/>
                <w:color w:val="FFFFFF"/>
                <w:sz w:val="19"/>
                <w:szCs w:val="19"/>
              </w:rPr>
              <w:t>Approach</w:t>
            </w:r>
          </w:p>
        </w:tc>
        <w:tc>
          <w:tcPr>
            <w:tcW w:w="4060" w:type="dxa"/>
            <w:shd w:val="clear" w:color="auto" w:fill="1F3864"/>
            <w:tcMar>
              <w:top w:w="90" w:type="dxa"/>
              <w:left w:w="130" w:type="dxa"/>
              <w:bottom w:w="90" w:type="dxa"/>
              <w:right w:w="130" w:type="dxa"/>
            </w:tcMar>
            <w:vAlign w:val="center"/>
          </w:tcPr>
          <w:p w14:paraId="5DEF92E2" w14:textId="77777777" w:rsidR="00391E0D" w:rsidRDefault="00072DB8">
            <w:pPr>
              <w:spacing w:line="260" w:lineRule="auto"/>
            </w:pPr>
            <w:r>
              <w:rPr>
                <w:b/>
                <w:bCs/>
                <w:color w:val="FFFFFF"/>
                <w:sz w:val="19"/>
                <w:szCs w:val="19"/>
              </w:rPr>
              <w:t>Comment</w:t>
            </w:r>
          </w:p>
        </w:tc>
      </w:tr>
      <w:tr w:rsidR="00391E0D" w14:paraId="64F39C38" w14:textId="77777777">
        <w:tc>
          <w:tcPr>
            <w:tcW w:w="1600" w:type="dxa"/>
            <w:tcMar>
              <w:top w:w="90" w:type="dxa"/>
              <w:left w:w="130" w:type="dxa"/>
              <w:bottom w:w="90" w:type="dxa"/>
              <w:right w:w="130" w:type="dxa"/>
            </w:tcMar>
            <w:vAlign w:val="center"/>
          </w:tcPr>
          <w:p w14:paraId="79567F49" w14:textId="47DAF9F9" w:rsidR="00391E0D" w:rsidRDefault="00072DB8">
            <w:pPr>
              <w:spacing w:line="260" w:lineRule="auto"/>
            </w:pPr>
            <w:r>
              <w:rPr>
                <w:b/>
                <w:bCs/>
                <w:color w:val="000000"/>
                <w:sz w:val="19"/>
                <w:szCs w:val="19"/>
              </w:rPr>
              <w:t xml:space="preserve">A </w:t>
            </w:r>
          </w:p>
        </w:tc>
        <w:tc>
          <w:tcPr>
            <w:tcW w:w="3700" w:type="dxa"/>
            <w:tcMar>
              <w:top w:w="90" w:type="dxa"/>
              <w:left w:w="130" w:type="dxa"/>
              <w:bottom w:w="90" w:type="dxa"/>
              <w:right w:w="130" w:type="dxa"/>
            </w:tcMar>
            <w:vAlign w:val="center"/>
          </w:tcPr>
          <w:p w14:paraId="065E1D2B" w14:textId="77777777" w:rsidR="00391E0D" w:rsidRDefault="00072DB8">
            <w:pPr>
              <w:spacing w:line="260" w:lineRule="auto"/>
            </w:pPr>
            <w:r>
              <w:rPr>
                <w:color w:val="000000"/>
                <w:sz w:val="19"/>
                <w:szCs w:val="19"/>
              </w:rPr>
              <w:t>Drop scaling and move to a count likelihood — Poisson or Negative Binomial</w:t>
            </w:r>
            <w:bookmarkStart w:id="0" w:name="_GoBack"/>
            <w:bookmarkEnd w:id="0"/>
          </w:p>
        </w:tc>
        <w:tc>
          <w:tcPr>
            <w:tcW w:w="4060" w:type="dxa"/>
            <w:tcMar>
              <w:top w:w="90" w:type="dxa"/>
              <w:left w:w="130" w:type="dxa"/>
              <w:bottom w:w="90" w:type="dxa"/>
              <w:right w:w="130" w:type="dxa"/>
            </w:tcMar>
            <w:vAlign w:val="center"/>
          </w:tcPr>
          <w:p w14:paraId="6391A1A8" w14:textId="575059F4" w:rsidR="00391E0D" w:rsidRDefault="00072DB8">
            <w:pPr>
              <w:spacing w:line="260" w:lineRule="auto"/>
            </w:pPr>
            <w:r>
              <w:rPr>
                <w:color w:val="000000"/>
                <w:sz w:val="19"/>
                <w:szCs w:val="19"/>
              </w:rPr>
              <w:t xml:space="preserve">Removes the problem at source rather than managing it. </w:t>
            </w:r>
            <w:r w:rsidR="0061253D">
              <w:rPr>
                <w:color w:val="000000"/>
                <w:sz w:val="19"/>
                <w:szCs w:val="19"/>
              </w:rPr>
              <w:t>This essentially removes the need for scaling</w:t>
            </w:r>
          </w:p>
        </w:tc>
      </w:tr>
      <w:tr w:rsidR="00391E0D" w14:paraId="42C8DB6C" w14:textId="77777777">
        <w:tc>
          <w:tcPr>
            <w:tcW w:w="1600" w:type="dxa"/>
            <w:shd w:val="clear" w:color="auto" w:fill="F2F5FA"/>
            <w:tcMar>
              <w:top w:w="90" w:type="dxa"/>
              <w:left w:w="130" w:type="dxa"/>
              <w:bottom w:w="90" w:type="dxa"/>
              <w:right w:w="130" w:type="dxa"/>
            </w:tcMar>
            <w:vAlign w:val="center"/>
          </w:tcPr>
          <w:p w14:paraId="70BD09A6" w14:textId="1FA751CC" w:rsidR="00391E0D" w:rsidRDefault="00072DB8">
            <w:pPr>
              <w:spacing w:line="260" w:lineRule="auto"/>
            </w:pPr>
            <w:r>
              <w:rPr>
                <w:b/>
                <w:bCs/>
                <w:color w:val="000000"/>
                <w:sz w:val="19"/>
                <w:szCs w:val="19"/>
              </w:rPr>
              <w:t xml:space="preserve">B </w:t>
            </w:r>
          </w:p>
        </w:tc>
        <w:tc>
          <w:tcPr>
            <w:tcW w:w="3700" w:type="dxa"/>
            <w:shd w:val="clear" w:color="auto" w:fill="F2F5FA"/>
            <w:tcMar>
              <w:top w:w="90" w:type="dxa"/>
              <w:left w:w="130" w:type="dxa"/>
              <w:bottom w:w="90" w:type="dxa"/>
              <w:right w:w="130" w:type="dxa"/>
            </w:tcMar>
            <w:vAlign w:val="center"/>
          </w:tcPr>
          <w:p w14:paraId="1F28286E" w14:textId="77777777" w:rsidR="00391E0D" w:rsidRDefault="00072DB8">
            <w:pPr>
              <w:spacing w:line="260" w:lineRule="auto"/>
            </w:pPr>
            <w:r>
              <w:rPr>
                <w:color w:val="000000"/>
                <w:sz w:val="19"/>
                <w:szCs w:val="19"/>
              </w:rPr>
              <w:t>Scale by a robust statistic — the series mean, or the 95th percentile of non-zero days</w:t>
            </w:r>
          </w:p>
        </w:tc>
        <w:tc>
          <w:tcPr>
            <w:tcW w:w="4060" w:type="dxa"/>
            <w:shd w:val="clear" w:color="auto" w:fill="F2F5FA"/>
            <w:tcMar>
              <w:top w:w="90" w:type="dxa"/>
              <w:left w:w="130" w:type="dxa"/>
              <w:bottom w:w="90" w:type="dxa"/>
              <w:right w:w="130" w:type="dxa"/>
            </w:tcMar>
            <w:vAlign w:val="center"/>
          </w:tcPr>
          <w:p w14:paraId="62A3D901" w14:textId="77777777" w:rsidR="00391E0D" w:rsidRDefault="00072DB8">
            <w:pPr>
              <w:spacing w:line="260" w:lineRule="auto"/>
            </w:pPr>
            <w:r>
              <w:rPr>
                <w:color w:val="000000"/>
                <w:sz w:val="19"/>
                <w:szCs w:val="19"/>
              </w:rPr>
              <w:t>Small change to the cache-building step, testable within a day. Peaks no longer define the denominator, so ordinary days occupy a usable range.</w:t>
            </w:r>
          </w:p>
        </w:tc>
      </w:tr>
      <w:tr w:rsidR="00391E0D" w14:paraId="3AB81DC7" w14:textId="77777777">
        <w:tc>
          <w:tcPr>
            <w:tcW w:w="1600" w:type="dxa"/>
            <w:tcMar>
              <w:top w:w="90" w:type="dxa"/>
              <w:left w:w="130" w:type="dxa"/>
              <w:bottom w:w="90" w:type="dxa"/>
              <w:right w:w="130" w:type="dxa"/>
            </w:tcMar>
            <w:vAlign w:val="center"/>
          </w:tcPr>
          <w:p w14:paraId="2E9692D4" w14:textId="77777777" w:rsidR="00391E0D" w:rsidRDefault="00072DB8">
            <w:pPr>
              <w:spacing w:line="260" w:lineRule="auto"/>
            </w:pPr>
            <w:r>
              <w:rPr>
                <w:b/>
                <w:bCs/>
                <w:color w:val="000000"/>
                <w:sz w:val="19"/>
                <w:szCs w:val="19"/>
              </w:rPr>
              <w:t>C</w:t>
            </w:r>
          </w:p>
        </w:tc>
        <w:tc>
          <w:tcPr>
            <w:tcW w:w="3700" w:type="dxa"/>
            <w:tcMar>
              <w:top w:w="90" w:type="dxa"/>
              <w:left w:w="130" w:type="dxa"/>
              <w:bottom w:w="90" w:type="dxa"/>
              <w:right w:w="130" w:type="dxa"/>
            </w:tcMar>
            <w:vAlign w:val="center"/>
          </w:tcPr>
          <w:p w14:paraId="618BABA0" w14:textId="77777777" w:rsidR="00391E0D" w:rsidRDefault="00072DB8">
            <w:pPr>
              <w:spacing w:line="260" w:lineRule="auto"/>
            </w:pPr>
            <w:r>
              <w:rPr>
                <w:color w:val="000000"/>
                <w:sz w:val="19"/>
                <w:szCs w:val="19"/>
              </w:rPr>
              <w:t>log1p transform, then standardise</w:t>
            </w:r>
          </w:p>
        </w:tc>
        <w:tc>
          <w:tcPr>
            <w:tcW w:w="4060" w:type="dxa"/>
            <w:tcMar>
              <w:top w:w="90" w:type="dxa"/>
              <w:left w:w="130" w:type="dxa"/>
              <w:bottom w:w="90" w:type="dxa"/>
              <w:right w:w="130" w:type="dxa"/>
            </w:tcMar>
            <w:vAlign w:val="center"/>
          </w:tcPr>
          <w:p w14:paraId="46440672" w14:textId="77777777" w:rsidR="00391E0D" w:rsidRDefault="00072DB8">
            <w:pPr>
              <w:spacing w:line="260" w:lineRule="auto"/>
            </w:pPr>
            <w:r>
              <w:rPr>
                <w:color w:val="000000"/>
                <w:sz w:val="19"/>
                <w:szCs w:val="19"/>
              </w:rPr>
              <w:t>Compresses the spike without letting it set the scale. The inverse transform introduces a small known bias that must be corrected.</w:t>
            </w:r>
          </w:p>
        </w:tc>
      </w:tr>
    </w:tbl>
    <w:p w14:paraId="445B3761" w14:textId="77777777" w:rsidR="00391E0D" w:rsidRDefault="00072DB8">
      <w:pPr>
        <w:pStyle w:val="Heading1"/>
        <w:spacing w:before="360" w:after="160"/>
      </w:pPr>
      <w:r>
        <w:rPr>
          <w:b/>
          <w:bCs/>
          <w:color w:val="1F3864"/>
          <w:sz w:val="30"/>
          <w:szCs w:val="30"/>
        </w:rPr>
        <w:t>4. Priority 3 — Weight Training Towards Runner Volume</w:t>
      </w:r>
    </w:p>
    <w:p w14:paraId="7A686724" w14:textId="77777777" w:rsidR="00391E0D" w:rsidRDefault="00072DB8">
      <w:pPr>
        <w:pStyle w:val="Heading2"/>
        <w:spacing w:before="260" w:after="120"/>
      </w:pPr>
      <w:r>
        <w:rPr>
          <w:b/>
          <w:bCs/>
          <w:sz w:val="25"/>
          <w:szCs w:val="25"/>
        </w:rPr>
        <w:t>4.1  What is wrong</w:t>
      </w:r>
    </w:p>
    <w:p w14:paraId="1249C74B" w14:textId="77777777" w:rsidR="00391E0D" w:rsidRDefault="00072DB8">
      <w:pPr>
        <w:spacing w:after="120" w:line="276" w:lineRule="auto"/>
      </w:pPr>
      <w:r>
        <w:rPr>
          <w:color w:val="000000"/>
        </w:rPr>
        <w:t>All series are currently trained with equal weight. Because this is a single global model with shared parameters, every series competes for the same weights — and most series are ones we are not scored on.</w:t>
      </w:r>
    </w:p>
    <w:p w14:paraId="336F3B6C" w14:textId="77777777" w:rsidR="00391E0D" w:rsidRDefault="00072DB8">
      <w:pPr>
        <w:spacing w:after="120" w:line="276" w:lineRule="auto"/>
      </w:pPr>
      <w:r>
        <w:rPr>
          <w:color w:val="000000"/>
        </w:rPr>
        <w:t>Roughly one series in five carries the large majority of volume; the remainder are near-zero on most days. The consequence is that most of the learning signal comes from series that never appear in the scorecard, and the shared weights are pulled towards predicting near-zero.</w:t>
      </w:r>
    </w:p>
    <w:tbl>
      <w:tblPr>
        <w:tblW w:w="9360" w:type="dxa"/>
        <w:tblBorders>
          <w:top w:val="single" w:sz="2" w:space="0" w:color="F2F5FA"/>
          <w:left w:val="single" w:sz="18" w:space="0" w:color="1F3864"/>
          <w:bottom w:val="single" w:sz="2" w:space="0" w:color="F2F5FA"/>
          <w:right w:val="single" w:sz="2" w:space="0" w:color="F2F5FA"/>
        </w:tblBorders>
        <w:tblCellMar>
          <w:left w:w="10" w:type="dxa"/>
          <w:right w:w="10" w:type="dxa"/>
        </w:tblCellMar>
        <w:tblLook w:val="04A0" w:firstRow="1" w:lastRow="0" w:firstColumn="1" w:lastColumn="0" w:noHBand="0" w:noVBand="1"/>
      </w:tblPr>
      <w:tblGrid>
        <w:gridCol w:w="9360"/>
      </w:tblGrid>
      <w:tr w:rsidR="00391E0D" w14:paraId="70482241" w14:textId="77777777">
        <w:tc>
          <w:tcPr>
            <w:tcW w:w="9360" w:type="dxa"/>
            <w:shd w:val="clear" w:color="auto" w:fill="F2F5FA"/>
            <w:tcMar>
              <w:top w:w="160" w:type="dxa"/>
              <w:left w:w="200" w:type="dxa"/>
              <w:bottom w:w="160" w:type="dxa"/>
              <w:right w:w="200" w:type="dxa"/>
            </w:tcMar>
          </w:tcPr>
          <w:p w14:paraId="4D477A65" w14:textId="77777777" w:rsidR="00391E0D" w:rsidRDefault="00072DB8">
            <w:pPr>
              <w:spacing w:after="80"/>
            </w:pPr>
            <w:r>
              <w:rPr>
                <w:b/>
                <w:bCs/>
                <w:color w:val="1F3864"/>
              </w:rPr>
              <w:lastRenderedPageBreak/>
              <w:t>An argument to avoid in discussion</w:t>
            </w:r>
          </w:p>
          <w:p w14:paraId="4A2F5E91" w14:textId="77777777" w:rsidR="00391E0D" w:rsidRDefault="00072DB8">
            <w:pPr>
              <w:spacing w:after="60" w:line="264" w:lineRule="auto"/>
            </w:pPr>
            <w:r>
              <w:rPr>
                <w:sz w:val="20"/>
                <w:szCs w:val="20"/>
              </w:rPr>
              <w:t>"The tail is noise, so delete it" is not a sufficient case. Those series still have to be forecast to produce a total; removing them from training does not remove them from the deliverable.</w:t>
            </w:r>
          </w:p>
          <w:p w14:paraId="164BAD68" w14:textId="77777777" w:rsidR="00391E0D" w:rsidRDefault="00072DB8">
            <w:pPr>
              <w:spacing w:after="60" w:line="264" w:lineRule="auto"/>
            </w:pPr>
            <w:r>
              <w:rPr>
                <w:sz w:val="20"/>
                <w:szCs w:val="20"/>
              </w:rPr>
              <w:t>The correct framing is gradient share, not data quality. We are spending model capacity in proportion to series count rather than in proportion to what we are measured on.</w:t>
            </w:r>
          </w:p>
        </w:tc>
      </w:tr>
    </w:tbl>
    <w:p w14:paraId="1A570FA7" w14:textId="77777777" w:rsidR="00391E0D" w:rsidRDefault="00072DB8">
      <w:pPr>
        <w:pStyle w:val="Heading2"/>
        <w:spacing w:before="260" w:after="120"/>
      </w:pPr>
      <w:r>
        <w:rPr>
          <w:b/>
          <w:bCs/>
          <w:sz w:val="25"/>
          <w:szCs w:val="25"/>
        </w:rPr>
        <w:t>4.2  The correct weighting is not raw volume</w:t>
      </w:r>
    </w:p>
    <w:p w14:paraId="19002CD9" w14:textId="77777777" w:rsidR="00391E0D" w:rsidRDefault="00072DB8">
      <w:pPr>
        <w:spacing w:after="120" w:line="276" w:lineRule="auto"/>
      </w:pPr>
      <w:r>
        <w:rPr>
          <w:color w:val="000000"/>
        </w:rPr>
        <w:t>Accuracy is reported on Runner SKUs — the A-class of the existing ABC classification, which ranks each SKU by its share of its own dealer's sales. Because that ranking is relative within each dealer, a modest dealer's top-selling family is A-class and appears in the scorecard even though its absolute volume is small.</w:t>
      </w:r>
    </w:p>
    <w:p w14:paraId="36C536A2" w14:textId="77777777" w:rsidR="00391E0D" w:rsidRDefault="00072DB8">
      <w:pPr>
        <w:spacing w:after="120" w:line="276" w:lineRule="auto"/>
      </w:pPr>
      <w:r>
        <w:rPr>
          <w:color w:val="000000"/>
        </w:rPr>
        <w:t>Weighting simply by group volume would therefore be the wrong ranking. The right weight for a PARENT_DEALER × MODEL_FAMILY group is how much of its volume flows into SKUs classified A. This quantity must be computed before the weighting can be specified.</w:t>
      </w:r>
    </w:p>
    <w:p w14:paraId="46CDA85D" w14:textId="77777777" w:rsidR="00391E0D" w:rsidRDefault="00072DB8">
      <w:pPr>
        <w:pStyle w:val="Heading2"/>
        <w:spacing w:before="260" w:after="120"/>
      </w:pPr>
      <w:r>
        <w:rPr>
          <w:b/>
          <w:bCs/>
          <w:sz w:val="25"/>
          <w:szCs w:val="25"/>
        </w:rPr>
        <w:t>4.3  What to change</w:t>
      </w:r>
    </w:p>
    <w:p w14:paraId="5AC0C483" w14:textId="77777777" w:rsidR="00391E0D" w:rsidRDefault="00072DB8">
      <w:pPr>
        <w:pStyle w:val="ListParagraph"/>
        <w:numPr>
          <w:ilvl w:val="0"/>
          <w:numId w:val="2"/>
        </w:numPr>
        <w:spacing w:after="70" w:line="276" w:lineRule="auto"/>
      </w:pPr>
      <w:r>
        <w:rPr>
          <w:b/>
          <w:bCs/>
          <w:color w:val="000000"/>
        </w:rPr>
        <w:t xml:space="preserve">Preferred — weight the loss by Runner volume share. </w:t>
      </w:r>
      <w:r>
        <w:rPr>
          <w:color w:val="000000"/>
        </w:rPr>
        <w:t>Retains one pipeline and one model. Groups contributing nothing to the scored population receive a small but non-zero weight, so they remain forecastable without dominating the gradient.</w:t>
      </w:r>
    </w:p>
    <w:p w14:paraId="303FAF6E" w14:textId="77777777" w:rsidR="00391E0D" w:rsidRDefault="00072DB8">
      <w:pPr>
        <w:pStyle w:val="ListParagraph"/>
        <w:numPr>
          <w:ilvl w:val="0"/>
          <w:numId w:val="2"/>
        </w:numPr>
        <w:spacing w:after="70" w:line="276" w:lineRule="auto"/>
      </w:pPr>
      <w:r>
        <w:rPr>
          <w:b/>
          <w:bCs/>
          <w:color w:val="000000"/>
        </w:rPr>
        <w:t xml:space="preserve">Alternative — split the problem. </w:t>
      </w:r>
      <w:r>
        <w:rPr>
          <w:color w:val="000000"/>
        </w:rPr>
        <w:t>Train the TFT on groups carrying Runner volume, and forecast the remainder with a cheap intermittent-demand method such as Croston or TSB, or a last-year-ratio rule. Simpler to reason about; adds a second pipeline to maintain.</w:t>
      </w:r>
    </w:p>
    <w:p w14:paraId="1639E0A3" w14:textId="77777777" w:rsidR="00391E0D" w:rsidRDefault="00072DB8">
      <w:pPr>
        <w:spacing w:after="60" w:line="276" w:lineRule="auto"/>
      </w:pPr>
      <w:r>
        <w:rPr>
          <w:color w:val="000000"/>
        </w:rPr>
        <w:t>Either route also cuts training time substantially, which matters given the disk I/O constraint on the current setup and the number of experiments still to run.</w:t>
      </w:r>
    </w:p>
    <w:p w14:paraId="456B803E" w14:textId="77777777" w:rsidR="00391E0D" w:rsidRDefault="00072DB8">
      <w:r>
        <w:br w:type="page"/>
      </w:r>
    </w:p>
    <w:p w14:paraId="482398C0" w14:textId="77777777" w:rsidR="00391E0D" w:rsidRDefault="00072DB8">
      <w:pPr>
        <w:pStyle w:val="Heading1"/>
        <w:spacing w:before="360" w:after="160"/>
      </w:pPr>
      <w:r>
        <w:rPr>
          <w:b/>
          <w:bCs/>
          <w:color w:val="1F3864"/>
          <w:sz w:val="30"/>
          <w:szCs w:val="30"/>
        </w:rPr>
        <w:lastRenderedPageBreak/>
        <w:t>5. Priority 4 — Correct the Loss Function</w:t>
      </w:r>
    </w:p>
    <w:p w14:paraId="18A7C981" w14:textId="77777777" w:rsidR="00391E0D" w:rsidRDefault="00072DB8">
      <w:pPr>
        <w:pStyle w:val="Heading2"/>
        <w:spacing w:before="260" w:after="120"/>
      </w:pPr>
      <w:r>
        <w:rPr>
          <w:b/>
          <w:bCs/>
          <w:sz w:val="25"/>
          <w:szCs w:val="25"/>
        </w:rPr>
        <w:t>5.1  The festive term is pulling predictions downwards</w:t>
      </w:r>
    </w:p>
    <w:p w14:paraId="77EA25D6" w14:textId="77777777" w:rsidR="00391E0D" w:rsidRDefault="00072DB8">
      <w:pPr>
        <w:spacing w:after="120" w:line="276" w:lineRule="auto"/>
      </w:pPr>
      <w:r>
        <w:rPr>
          <w:color w:val="000000"/>
        </w:rPr>
        <w:t>The custom loss currently computes:</w:t>
      </w:r>
    </w:p>
    <w:tbl>
      <w:tblPr>
        <w:tblW w:w="936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60"/>
      </w:tblGrid>
      <w:tr w:rsidR="00391E0D" w14:paraId="4B4C8381" w14:textId="77777777">
        <w:tc>
          <w:tcPr>
            <w:tcW w:w="9360" w:type="dxa"/>
            <w:shd w:val="clear" w:color="auto" w:fill="F7F7F7"/>
            <w:tcMar>
              <w:top w:w="120" w:type="dxa"/>
              <w:left w:w="180" w:type="dxa"/>
              <w:bottom w:w="120" w:type="dxa"/>
              <w:right w:w="120" w:type="dxa"/>
            </w:tcMar>
          </w:tcPr>
          <w:p w14:paraId="6CBA89FC" w14:textId="77777777" w:rsidR="00391E0D" w:rsidRDefault="00072DB8">
            <w:pPr>
              <w:spacing w:after="20"/>
            </w:pPr>
            <w:r>
              <w:rPr>
                <w:rFonts w:ascii="Consolas" w:eastAsia="Consolas" w:hAnsi="Consolas" w:cs="Consolas"/>
                <w:sz w:val="18"/>
                <w:szCs w:val="18"/>
              </w:rPr>
              <w:t>total = Huber(</w:t>
            </w:r>
            <w:proofErr w:type="spellStart"/>
            <w:r>
              <w:rPr>
                <w:rFonts w:ascii="Consolas" w:eastAsia="Consolas" w:hAnsi="Consolas" w:cs="Consolas"/>
                <w:sz w:val="18"/>
                <w:szCs w:val="18"/>
              </w:rPr>
              <w:t>y_hat</w:t>
            </w:r>
            <w:proofErr w:type="spellEnd"/>
            <w:r>
              <w:rPr>
                <w:rFonts w:ascii="Consolas" w:eastAsia="Consolas" w:hAnsi="Consolas" w:cs="Consolas"/>
                <w:sz w:val="18"/>
                <w:szCs w:val="18"/>
              </w:rPr>
              <w:t xml:space="preserve">, y) + flag * |y - </w:t>
            </w:r>
            <w:proofErr w:type="spellStart"/>
            <w:r>
              <w:rPr>
                <w:rFonts w:ascii="Consolas" w:eastAsia="Consolas" w:hAnsi="Consolas" w:cs="Consolas"/>
                <w:sz w:val="18"/>
                <w:szCs w:val="18"/>
              </w:rPr>
              <w:t>y_hat</w:t>
            </w:r>
            <w:proofErr w:type="spellEnd"/>
            <w:r>
              <w:rPr>
                <w:rFonts w:ascii="Consolas" w:eastAsia="Consolas" w:hAnsi="Consolas" w:cs="Consolas"/>
                <w:sz w:val="18"/>
                <w:szCs w:val="18"/>
              </w:rPr>
              <w:t>|</w:t>
            </w:r>
          </w:p>
        </w:tc>
      </w:tr>
    </w:tbl>
    <w:p w14:paraId="515DC88D" w14:textId="77777777" w:rsidR="00391E0D" w:rsidRDefault="00072DB8">
      <w:pPr>
        <w:spacing w:after="120" w:line="276" w:lineRule="auto"/>
      </w:pPr>
      <w:r>
        <w:rPr>
          <w:color w:val="000000"/>
        </w:rPr>
        <w:t>The intent is to weight festive days more heavily. The effect differs from the intent.</w:t>
      </w:r>
    </w:p>
    <w:p w14:paraId="15E39727" w14:textId="77777777" w:rsidR="00391E0D" w:rsidRDefault="00072DB8">
      <w:pPr>
        <w:spacing w:after="120" w:line="276" w:lineRule="auto"/>
      </w:pPr>
      <w:r>
        <w:rPr>
          <w:color w:val="000000"/>
        </w:rPr>
        <w:t>Absolute error is minimised by the median; squared error is minimised by the mean. Festive daily demand is strongly right-skewed, so a few very large days pull the mean well above the median. Adding an absolute-error term on festive days therefore adds a component minimised by forecasting the median — which sits below the mean.</w:t>
      </w:r>
    </w:p>
    <w:tbl>
      <w:tblPr>
        <w:tblW w:w="9360" w:type="dxa"/>
        <w:tblBorders>
          <w:top w:val="single" w:sz="2" w:space="0" w:color="FFF4E5"/>
          <w:left w:val="single" w:sz="18" w:space="0" w:color="B26B00"/>
          <w:bottom w:val="single" w:sz="2" w:space="0" w:color="FFF4E5"/>
          <w:right w:val="single" w:sz="2" w:space="0" w:color="FFF4E5"/>
        </w:tblBorders>
        <w:tblCellMar>
          <w:left w:w="10" w:type="dxa"/>
          <w:right w:w="10" w:type="dxa"/>
        </w:tblCellMar>
        <w:tblLook w:val="04A0" w:firstRow="1" w:lastRow="0" w:firstColumn="1" w:lastColumn="0" w:noHBand="0" w:noVBand="1"/>
      </w:tblPr>
      <w:tblGrid>
        <w:gridCol w:w="9360"/>
      </w:tblGrid>
      <w:tr w:rsidR="00391E0D" w14:paraId="34CE1AAC" w14:textId="77777777">
        <w:tc>
          <w:tcPr>
            <w:tcW w:w="9360" w:type="dxa"/>
            <w:shd w:val="clear" w:color="auto" w:fill="FFF4E5"/>
            <w:tcMar>
              <w:top w:w="160" w:type="dxa"/>
              <w:left w:w="200" w:type="dxa"/>
              <w:bottom w:w="160" w:type="dxa"/>
              <w:right w:w="200" w:type="dxa"/>
            </w:tcMar>
          </w:tcPr>
          <w:p w14:paraId="572A630C" w14:textId="77777777" w:rsidR="00391E0D" w:rsidRDefault="00072DB8">
            <w:pPr>
              <w:spacing w:after="80"/>
            </w:pPr>
            <w:r>
              <w:rPr>
                <w:b/>
                <w:bCs/>
                <w:color w:val="B26B00"/>
              </w:rPr>
              <w:t>In plain terms</w:t>
            </w:r>
          </w:p>
          <w:p w14:paraId="10269FD3" w14:textId="77777777" w:rsidR="00391E0D" w:rsidRDefault="00072DB8">
            <w:pPr>
              <w:spacing w:after="60" w:line="264" w:lineRule="auto"/>
            </w:pPr>
            <w:r>
              <w:rPr>
                <w:sz w:val="20"/>
                <w:szCs w:val="20"/>
              </w:rPr>
              <w:t>On exactly the days where we most want the peak captured, we have added a term that rewards the model for forecasting the typical day rather than the big day.</w:t>
            </w:r>
          </w:p>
        </w:tc>
      </w:tr>
    </w:tbl>
    <w:p w14:paraId="61E21B17" w14:textId="77777777" w:rsidR="00391E0D" w:rsidRDefault="00072DB8">
      <w:pPr>
        <w:pStyle w:val="Heading2"/>
        <w:spacing w:before="260" w:after="120"/>
      </w:pPr>
      <w:r>
        <w:rPr>
          <w:b/>
          <w:bCs/>
          <w:sz w:val="25"/>
          <w:szCs w:val="25"/>
        </w:rPr>
        <w:t>5.2  What to change</w:t>
      </w:r>
    </w:p>
    <w:p w14:paraId="3A361CB2" w14:textId="77777777" w:rsidR="00391E0D" w:rsidRDefault="00072DB8">
      <w:pPr>
        <w:spacing w:after="120" w:line="276" w:lineRule="auto"/>
      </w:pPr>
      <w:r>
        <w:rPr>
          <w:color w:val="000000"/>
        </w:rPr>
        <w:t>Weighting festive days more is correct. It should be done asymmetrically, so that forecasting below the actual is penalised more heavily than forecasting above it:</w:t>
      </w:r>
    </w:p>
    <w:tbl>
      <w:tblPr>
        <w:tblW w:w="936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60"/>
      </w:tblGrid>
      <w:tr w:rsidR="00391E0D" w14:paraId="1F4273E6" w14:textId="77777777">
        <w:tc>
          <w:tcPr>
            <w:tcW w:w="9360" w:type="dxa"/>
            <w:shd w:val="clear" w:color="auto" w:fill="F7F7F7"/>
            <w:tcMar>
              <w:top w:w="120" w:type="dxa"/>
              <w:left w:w="180" w:type="dxa"/>
              <w:bottom w:w="120" w:type="dxa"/>
              <w:right w:w="120" w:type="dxa"/>
            </w:tcMar>
          </w:tcPr>
          <w:p w14:paraId="48F79C40" w14:textId="77777777" w:rsidR="00391E0D" w:rsidRDefault="00072DB8">
            <w:pPr>
              <w:spacing w:after="20"/>
            </w:pPr>
            <w:r>
              <w:rPr>
                <w:rFonts w:ascii="Consolas" w:eastAsia="Consolas" w:hAnsi="Consolas" w:cs="Consolas"/>
                <w:sz w:val="18"/>
                <w:szCs w:val="18"/>
              </w:rPr>
              <w:t xml:space="preserve">err = y - </w:t>
            </w:r>
            <w:proofErr w:type="spellStart"/>
            <w:r>
              <w:rPr>
                <w:rFonts w:ascii="Consolas" w:eastAsia="Consolas" w:hAnsi="Consolas" w:cs="Consolas"/>
                <w:sz w:val="18"/>
                <w:szCs w:val="18"/>
              </w:rPr>
              <w:t>y_hat</w:t>
            </w:r>
            <w:proofErr w:type="spellEnd"/>
          </w:p>
          <w:p w14:paraId="5E3216F2" w14:textId="77777777" w:rsidR="00391E0D" w:rsidRDefault="00072DB8">
            <w:pPr>
              <w:spacing w:after="20"/>
            </w:pPr>
            <w:r>
              <w:rPr>
                <w:rFonts w:ascii="Consolas" w:eastAsia="Consolas" w:hAnsi="Consolas" w:cs="Consolas"/>
                <w:sz w:val="18"/>
                <w:szCs w:val="18"/>
              </w:rPr>
              <w:t xml:space="preserve">pen = </w:t>
            </w:r>
            <w:proofErr w:type="spellStart"/>
            <w:r>
              <w:rPr>
                <w:rFonts w:ascii="Consolas" w:eastAsia="Consolas" w:hAnsi="Consolas" w:cs="Consolas"/>
                <w:sz w:val="18"/>
                <w:szCs w:val="18"/>
              </w:rPr>
              <w:t>torch.where</w:t>
            </w:r>
            <w:proofErr w:type="spellEnd"/>
            <w:r>
              <w:rPr>
                <w:rFonts w:ascii="Consolas" w:eastAsia="Consolas" w:hAnsi="Consolas" w:cs="Consolas"/>
                <w:sz w:val="18"/>
                <w:szCs w:val="18"/>
              </w:rPr>
              <w:t xml:space="preserve">(err &gt; 0, alpha * err, </w:t>
            </w:r>
            <w:proofErr w:type="spellStart"/>
            <w:r>
              <w:rPr>
                <w:rFonts w:ascii="Consolas" w:eastAsia="Consolas" w:hAnsi="Consolas" w:cs="Consolas"/>
                <w:sz w:val="18"/>
                <w:szCs w:val="18"/>
              </w:rPr>
              <w:t>torch.abs</w:t>
            </w:r>
            <w:proofErr w:type="spellEnd"/>
            <w:r>
              <w:rPr>
                <w:rFonts w:ascii="Consolas" w:eastAsia="Consolas" w:hAnsi="Consolas" w:cs="Consolas"/>
                <w:sz w:val="18"/>
                <w:szCs w:val="18"/>
              </w:rPr>
              <w:t>(err))   # alpha &gt; 1</w:t>
            </w:r>
          </w:p>
          <w:p w14:paraId="42A717A2" w14:textId="77777777" w:rsidR="00391E0D" w:rsidRDefault="00072DB8">
            <w:pPr>
              <w:spacing w:after="20"/>
            </w:pPr>
            <w:r>
              <w:rPr>
                <w:rFonts w:ascii="Consolas" w:eastAsia="Consolas" w:hAnsi="Consolas" w:cs="Consolas"/>
                <w:sz w:val="18"/>
                <w:szCs w:val="18"/>
              </w:rPr>
              <w:t xml:space="preserve">total = </w:t>
            </w:r>
            <w:proofErr w:type="spellStart"/>
            <w:r>
              <w:rPr>
                <w:rFonts w:ascii="Consolas" w:eastAsia="Consolas" w:hAnsi="Consolas" w:cs="Consolas"/>
                <w:sz w:val="18"/>
                <w:szCs w:val="18"/>
              </w:rPr>
              <w:t>huber_base</w:t>
            </w:r>
            <w:proofErr w:type="spellEnd"/>
            <w:r>
              <w:rPr>
                <w:rFonts w:ascii="Consolas" w:eastAsia="Consolas" w:hAnsi="Consolas" w:cs="Consolas"/>
                <w:sz w:val="18"/>
                <w:szCs w:val="18"/>
              </w:rPr>
              <w:t xml:space="preserve"> + flag * pen</w:t>
            </w:r>
          </w:p>
        </w:tc>
      </w:tr>
    </w:tbl>
    <w:p w14:paraId="5365146C" w14:textId="77777777" w:rsidR="00391E0D" w:rsidRDefault="00072DB8">
      <w:pPr>
        <w:spacing w:after="120" w:line="276" w:lineRule="auto"/>
      </w:pPr>
      <w:r>
        <w:rPr>
          <w:color w:val="000000"/>
        </w:rPr>
        <w:t xml:space="preserve">Alpha becomes a </w:t>
      </w:r>
      <w:proofErr w:type="spellStart"/>
      <w:r>
        <w:rPr>
          <w:color w:val="000000"/>
        </w:rPr>
        <w:t>tunable</w:t>
      </w:r>
      <w:proofErr w:type="spellEnd"/>
      <w:r>
        <w:rPr>
          <w:color w:val="000000"/>
        </w:rPr>
        <w:t xml:space="preserve"> business lever expressing how much worse a stock-out is than an overstock. That is a conversation the commercial team can hold directly, rather than a hidden property of the objective.</w:t>
      </w:r>
    </w:p>
    <w:p w14:paraId="67CD5337" w14:textId="77777777" w:rsidR="00391E0D" w:rsidRDefault="00072DB8">
      <w:pPr>
        <w:pStyle w:val="Heading2"/>
        <w:spacing w:before="260" w:after="120"/>
      </w:pPr>
      <w:r>
        <w:rPr>
          <w:b/>
          <w:bCs/>
          <w:sz w:val="25"/>
          <w:szCs w:val="25"/>
        </w:rPr>
        <w:t>5.3  A note on the delta = 100 result</w:t>
      </w:r>
    </w:p>
    <w:p w14:paraId="4AFE58F8" w14:textId="77777777" w:rsidR="00391E0D" w:rsidRDefault="00072DB8">
      <w:pPr>
        <w:spacing w:after="120" w:line="276" w:lineRule="auto"/>
      </w:pPr>
      <w:r>
        <w:rPr>
          <w:color w:val="000000"/>
        </w:rPr>
        <w:t>Setting Huber's delta to 100 appeared to lift predictions to the desired level. This finding needs verification before anything is built on it.</w:t>
      </w:r>
    </w:p>
    <w:p w14:paraId="1AA802D4" w14:textId="77777777" w:rsidR="00391E0D" w:rsidRDefault="00072DB8">
      <w:pPr>
        <w:spacing w:after="120" w:line="276" w:lineRule="auto"/>
      </w:pPr>
      <w:r>
        <w:rPr>
          <w:color w:val="000000"/>
        </w:rPr>
        <w:t xml:space="preserve">In </w:t>
      </w:r>
      <w:proofErr w:type="spellStart"/>
      <w:r>
        <w:rPr>
          <w:color w:val="000000"/>
        </w:rPr>
        <w:t>PyTorch's</w:t>
      </w:r>
      <w:proofErr w:type="spellEnd"/>
      <w:r>
        <w:rPr>
          <w:color w:val="000000"/>
        </w:rPr>
        <w:t xml:space="preserve"> </w:t>
      </w:r>
      <w:proofErr w:type="spellStart"/>
      <w:r>
        <w:rPr>
          <w:color w:val="000000"/>
        </w:rPr>
        <w:t>HuberLoss</w:t>
      </w:r>
      <w:proofErr w:type="spellEnd"/>
      <w:r>
        <w:rPr>
          <w:color w:val="000000"/>
        </w:rPr>
        <w:t>, the below-threshold branch is 0.5 × e², in which delta does not appear. With targets scaled to roughly [0, 1], errors are almost always below 1.0, so training sits almost entirely in that branch. Mathematically, delta = 1 and delta = 100 should produce nearly identical gradients.</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800"/>
        <w:gridCol w:w="5560"/>
      </w:tblGrid>
      <w:tr w:rsidR="00391E0D" w14:paraId="21B1B1ED" w14:textId="77777777">
        <w:trPr>
          <w:tblHeader/>
        </w:trPr>
        <w:tc>
          <w:tcPr>
            <w:tcW w:w="3800" w:type="dxa"/>
            <w:shd w:val="clear" w:color="auto" w:fill="1F3864"/>
            <w:tcMar>
              <w:top w:w="90" w:type="dxa"/>
              <w:left w:w="130" w:type="dxa"/>
              <w:bottom w:w="90" w:type="dxa"/>
              <w:right w:w="130" w:type="dxa"/>
            </w:tcMar>
            <w:vAlign w:val="center"/>
          </w:tcPr>
          <w:p w14:paraId="3A814599" w14:textId="77777777" w:rsidR="00391E0D" w:rsidRDefault="00072DB8">
            <w:pPr>
              <w:spacing w:line="260" w:lineRule="auto"/>
            </w:pPr>
            <w:r>
              <w:rPr>
                <w:b/>
                <w:bCs/>
                <w:color w:val="FFFFFF"/>
                <w:sz w:val="19"/>
                <w:szCs w:val="19"/>
              </w:rPr>
              <w:t>Reading</w:t>
            </w:r>
          </w:p>
        </w:tc>
        <w:tc>
          <w:tcPr>
            <w:tcW w:w="5560" w:type="dxa"/>
            <w:shd w:val="clear" w:color="auto" w:fill="1F3864"/>
            <w:tcMar>
              <w:top w:w="90" w:type="dxa"/>
              <w:left w:w="130" w:type="dxa"/>
              <w:bottom w:w="90" w:type="dxa"/>
              <w:right w:w="130" w:type="dxa"/>
            </w:tcMar>
            <w:vAlign w:val="center"/>
          </w:tcPr>
          <w:p w14:paraId="0C57DC78" w14:textId="77777777" w:rsidR="00391E0D" w:rsidRDefault="00072DB8">
            <w:pPr>
              <w:spacing w:line="260" w:lineRule="auto"/>
            </w:pPr>
            <w:r>
              <w:rPr>
                <w:b/>
                <w:bCs/>
                <w:color w:val="FFFFFF"/>
                <w:sz w:val="19"/>
                <w:szCs w:val="19"/>
              </w:rPr>
              <w:t>Implication</w:t>
            </w:r>
          </w:p>
        </w:tc>
      </w:tr>
      <w:tr w:rsidR="00391E0D" w14:paraId="558CE0CB" w14:textId="77777777">
        <w:tc>
          <w:tcPr>
            <w:tcW w:w="3800" w:type="dxa"/>
            <w:tcMar>
              <w:top w:w="90" w:type="dxa"/>
              <w:left w:w="130" w:type="dxa"/>
              <w:bottom w:w="90" w:type="dxa"/>
              <w:right w:w="130" w:type="dxa"/>
            </w:tcMar>
            <w:vAlign w:val="center"/>
          </w:tcPr>
          <w:p w14:paraId="39038BC4" w14:textId="77777777" w:rsidR="00391E0D" w:rsidRDefault="00072DB8">
            <w:pPr>
              <w:spacing w:line="260" w:lineRule="auto"/>
            </w:pPr>
            <w:r>
              <w:rPr>
                <w:b/>
                <w:bCs/>
                <w:color w:val="000000"/>
                <w:sz w:val="19"/>
                <w:szCs w:val="19"/>
              </w:rPr>
              <w:t>The two runs genuinely produce different losses</w:t>
            </w:r>
          </w:p>
        </w:tc>
        <w:tc>
          <w:tcPr>
            <w:tcW w:w="5560" w:type="dxa"/>
            <w:tcMar>
              <w:top w:w="90" w:type="dxa"/>
              <w:left w:w="130" w:type="dxa"/>
              <w:bottom w:w="90" w:type="dxa"/>
              <w:right w:w="130" w:type="dxa"/>
            </w:tcMar>
            <w:vAlign w:val="center"/>
          </w:tcPr>
          <w:p w14:paraId="5815C0A8" w14:textId="77777777" w:rsidR="00391E0D" w:rsidRDefault="00072DB8">
            <w:pPr>
              <w:spacing w:line="260" w:lineRule="auto"/>
            </w:pPr>
            <w:r>
              <w:rPr>
                <w:color w:val="000000"/>
                <w:sz w:val="19"/>
                <w:szCs w:val="19"/>
              </w:rPr>
              <w:t>Errors are routinely exceeding 1.0 in scaled space — which is the scaling defect described in Priority 2, surfacing indirectly.</w:t>
            </w:r>
          </w:p>
        </w:tc>
      </w:tr>
      <w:tr w:rsidR="00391E0D" w14:paraId="503CBC1D" w14:textId="77777777">
        <w:tc>
          <w:tcPr>
            <w:tcW w:w="3800" w:type="dxa"/>
            <w:shd w:val="clear" w:color="auto" w:fill="F2F5FA"/>
            <w:tcMar>
              <w:top w:w="90" w:type="dxa"/>
              <w:left w:w="130" w:type="dxa"/>
              <w:bottom w:w="90" w:type="dxa"/>
              <w:right w:w="130" w:type="dxa"/>
            </w:tcMar>
            <w:vAlign w:val="center"/>
          </w:tcPr>
          <w:p w14:paraId="1898BDF1" w14:textId="77777777" w:rsidR="00391E0D" w:rsidRDefault="00072DB8">
            <w:pPr>
              <w:spacing w:line="260" w:lineRule="auto"/>
            </w:pPr>
            <w:r>
              <w:rPr>
                <w:b/>
                <w:bCs/>
                <w:color w:val="000000"/>
                <w:sz w:val="19"/>
                <w:szCs w:val="19"/>
              </w:rPr>
              <w:t>The two runs produce the same loss</w:t>
            </w:r>
          </w:p>
        </w:tc>
        <w:tc>
          <w:tcPr>
            <w:tcW w:w="5560" w:type="dxa"/>
            <w:shd w:val="clear" w:color="auto" w:fill="F2F5FA"/>
            <w:tcMar>
              <w:top w:w="90" w:type="dxa"/>
              <w:left w:w="130" w:type="dxa"/>
              <w:bottom w:w="90" w:type="dxa"/>
              <w:right w:w="130" w:type="dxa"/>
            </w:tcMar>
            <w:vAlign w:val="center"/>
          </w:tcPr>
          <w:p w14:paraId="36BB7322" w14:textId="77777777" w:rsidR="00391E0D" w:rsidRDefault="00072DB8">
            <w:pPr>
              <w:spacing w:line="260" w:lineRule="auto"/>
            </w:pPr>
            <w:r>
              <w:rPr>
                <w:color w:val="000000"/>
                <w:sz w:val="19"/>
                <w:szCs w:val="19"/>
              </w:rPr>
              <w:t>The observed improvement came from something else that varied between runs — stopping epoch, data slice, or run-to-run variation — and the delta setting is not the cause.</w:t>
            </w:r>
          </w:p>
        </w:tc>
      </w:tr>
    </w:tbl>
    <w:p w14:paraId="4509796E" w14:textId="77777777" w:rsidR="00391E0D" w:rsidRDefault="00072DB8">
      <w:pPr>
        <w:spacing w:after="60" w:line="276" w:lineRule="auto"/>
      </w:pPr>
      <w:r>
        <w:rPr>
          <w:color w:val="000000"/>
        </w:rPr>
        <w:t>Recommended action: rerun delta = 1 against delta = 100 with every other factor frozen, and log both loss curves. This is a half-day experiment that prevents building on a possibly spurious result.</w:t>
      </w:r>
    </w:p>
    <w:p w14:paraId="17844316" w14:textId="77777777" w:rsidR="00391E0D" w:rsidRDefault="00072DB8">
      <w:r>
        <w:br w:type="page"/>
      </w:r>
    </w:p>
    <w:p w14:paraId="480E5977" w14:textId="77777777" w:rsidR="00391E0D" w:rsidRDefault="00072DB8">
      <w:pPr>
        <w:pStyle w:val="Heading1"/>
        <w:spacing w:before="360" w:after="160"/>
      </w:pPr>
      <w:r>
        <w:rPr>
          <w:b/>
          <w:bCs/>
          <w:color w:val="1F3864"/>
          <w:sz w:val="30"/>
          <w:szCs w:val="30"/>
        </w:rPr>
        <w:lastRenderedPageBreak/>
        <w:t>6. Priority 5 — Repair the Covariate Set</w:t>
      </w:r>
    </w:p>
    <w:p w14:paraId="698B0617" w14:textId="77777777" w:rsidR="00391E0D" w:rsidRDefault="00072DB8">
      <w:pPr>
        <w:pStyle w:val="Heading2"/>
        <w:spacing w:before="260" w:after="120"/>
      </w:pPr>
      <w:r>
        <w:rPr>
          <w:b/>
          <w:bCs/>
          <w:sz w:val="25"/>
          <w:szCs w:val="25"/>
        </w:rPr>
        <w:t>6.1  Two distinct groups of features</w:t>
      </w:r>
    </w:p>
    <w:p w14:paraId="157594B9" w14:textId="77777777" w:rsidR="00391E0D" w:rsidRDefault="00072DB8">
      <w:pPr>
        <w:spacing w:after="120" w:line="276" w:lineRule="auto"/>
      </w:pPr>
      <w:r>
        <w:rPr>
          <w:color w:val="000000"/>
        </w:rPr>
        <w:t>The 68 future covariates are not uniformly sparse, and the distinction matters.</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100"/>
        <w:gridCol w:w="1500"/>
        <w:gridCol w:w="4760"/>
      </w:tblGrid>
      <w:tr w:rsidR="00391E0D" w14:paraId="23110025" w14:textId="77777777">
        <w:trPr>
          <w:tblHeader/>
        </w:trPr>
        <w:tc>
          <w:tcPr>
            <w:tcW w:w="3100" w:type="dxa"/>
            <w:shd w:val="clear" w:color="auto" w:fill="1F3864"/>
            <w:tcMar>
              <w:top w:w="90" w:type="dxa"/>
              <w:left w:w="130" w:type="dxa"/>
              <w:bottom w:w="90" w:type="dxa"/>
              <w:right w:w="130" w:type="dxa"/>
            </w:tcMar>
            <w:vAlign w:val="center"/>
          </w:tcPr>
          <w:p w14:paraId="5AD7340E" w14:textId="77777777" w:rsidR="00391E0D" w:rsidRDefault="00072DB8">
            <w:pPr>
              <w:spacing w:line="260" w:lineRule="auto"/>
            </w:pPr>
            <w:r>
              <w:rPr>
                <w:b/>
                <w:bCs/>
                <w:color w:val="FFFFFF"/>
                <w:sz w:val="19"/>
                <w:szCs w:val="19"/>
              </w:rPr>
              <w:t>Group</w:t>
            </w:r>
          </w:p>
        </w:tc>
        <w:tc>
          <w:tcPr>
            <w:tcW w:w="1500" w:type="dxa"/>
            <w:shd w:val="clear" w:color="auto" w:fill="1F3864"/>
            <w:tcMar>
              <w:top w:w="90" w:type="dxa"/>
              <w:left w:w="130" w:type="dxa"/>
              <w:bottom w:w="90" w:type="dxa"/>
              <w:right w:w="130" w:type="dxa"/>
            </w:tcMar>
            <w:vAlign w:val="center"/>
          </w:tcPr>
          <w:p w14:paraId="0CF4D56E" w14:textId="77777777" w:rsidR="00391E0D" w:rsidRDefault="00072DB8">
            <w:pPr>
              <w:spacing w:line="260" w:lineRule="auto"/>
            </w:pPr>
            <w:r>
              <w:rPr>
                <w:b/>
                <w:bCs/>
                <w:color w:val="FFFFFF"/>
                <w:sz w:val="19"/>
                <w:szCs w:val="19"/>
              </w:rPr>
              <w:t>Density</w:t>
            </w:r>
          </w:p>
        </w:tc>
        <w:tc>
          <w:tcPr>
            <w:tcW w:w="4760" w:type="dxa"/>
            <w:shd w:val="clear" w:color="auto" w:fill="1F3864"/>
            <w:tcMar>
              <w:top w:w="90" w:type="dxa"/>
              <w:left w:w="130" w:type="dxa"/>
              <w:bottom w:w="90" w:type="dxa"/>
              <w:right w:w="130" w:type="dxa"/>
            </w:tcMar>
            <w:vAlign w:val="center"/>
          </w:tcPr>
          <w:p w14:paraId="27AC965C" w14:textId="77777777" w:rsidR="00391E0D" w:rsidRDefault="00072DB8">
            <w:pPr>
              <w:spacing w:line="260" w:lineRule="auto"/>
            </w:pPr>
            <w:r>
              <w:rPr>
                <w:b/>
                <w:bCs/>
                <w:color w:val="FFFFFF"/>
                <w:sz w:val="19"/>
                <w:szCs w:val="19"/>
              </w:rPr>
              <w:t>Assessment</w:t>
            </w:r>
          </w:p>
        </w:tc>
      </w:tr>
      <w:tr w:rsidR="00391E0D" w14:paraId="45DE924D" w14:textId="77777777">
        <w:tc>
          <w:tcPr>
            <w:tcW w:w="3100" w:type="dxa"/>
            <w:tcMar>
              <w:top w:w="90" w:type="dxa"/>
              <w:left w:w="130" w:type="dxa"/>
              <w:bottom w:w="90" w:type="dxa"/>
              <w:right w:w="130" w:type="dxa"/>
            </w:tcMar>
            <w:vAlign w:val="center"/>
          </w:tcPr>
          <w:p w14:paraId="5E3F522C" w14:textId="77777777" w:rsidR="00391E0D" w:rsidRDefault="00072DB8">
            <w:pPr>
              <w:spacing w:line="260" w:lineRule="auto"/>
            </w:pPr>
            <w:r>
              <w:rPr>
                <w:b/>
                <w:bCs/>
                <w:color w:val="000000"/>
                <w:sz w:val="19"/>
                <w:szCs w:val="19"/>
              </w:rPr>
              <w:t>24 named single-day flags (</w:t>
            </w:r>
            <w:proofErr w:type="spellStart"/>
            <w:r>
              <w:rPr>
                <w:b/>
                <w:bCs/>
                <w:color w:val="000000"/>
                <w:sz w:val="19"/>
                <w:szCs w:val="19"/>
              </w:rPr>
              <w:t>Lohri</w:t>
            </w:r>
            <w:proofErr w:type="spellEnd"/>
            <w:r>
              <w:rPr>
                <w:b/>
                <w:bCs/>
                <w:color w:val="000000"/>
                <w:sz w:val="19"/>
                <w:szCs w:val="19"/>
              </w:rPr>
              <w:t>, Makar Sankranti, Republic Day, …)</w:t>
            </w:r>
          </w:p>
        </w:tc>
        <w:tc>
          <w:tcPr>
            <w:tcW w:w="1500" w:type="dxa"/>
            <w:tcMar>
              <w:top w:w="90" w:type="dxa"/>
              <w:left w:w="130" w:type="dxa"/>
              <w:bottom w:w="90" w:type="dxa"/>
              <w:right w:w="130" w:type="dxa"/>
            </w:tcMar>
            <w:vAlign w:val="center"/>
          </w:tcPr>
          <w:p w14:paraId="3E404DCE" w14:textId="77777777" w:rsidR="00391E0D" w:rsidRDefault="00072DB8">
            <w:pPr>
              <w:spacing w:line="260" w:lineRule="auto"/>
            </w:pPr>
            <w:r>
              <w:rPr>
                <w:color w:val="000000"/>
                <w:sz w:val="19"/>
                <w:szCs w:val="19"/>
              </w:rPr>
              <w:t>1 day in 365</w:t>
            </w:r>
          </w:p>
        </w:tc>
        <w:tc>
          <w:tcPr>
            <w:tcW w:w="4760" w:type="dxa"/>
            <w:tcMar>
              <w:top w:w="90" w:type="dxa"/>
              <w:left w:w="130" w:type="dxa"/>
              <w:bottom w:w="90" w:type="dxa"/>
              <w:right w:w="130" w:type="dxa"/>
            </w:tcMar>
            <w:vAlign w:val="center"/>
          </w:tcPr>
          <w:p w14:paraId="43F5C049" w14:textId="77777777" w:rsidR="00391E0D" w:rsidRDefault="00072DB8">
            <w:pPr>
              <w:spacing w:line="260" w:lineRule="auto"/>
            </w:pPr>
            <w:r>
              <w:rPr>
                <w:color w:val="000000"/>
                <w:sz w:val="19"/>
                <w:szCs w:val="19"/>
              </w:rPr>
              <w:t>Genuinely sparse. With 68 columns competing in the Variable Selection Network, 24 near-empty inputs dilute the attention available to those that matter. This is a milder form of the attention-starvation problem already diagnosed on the monthly model.</w:t>
            </w:r>
          </w:p>
        </w:tc>
      </w:tr>
      <w:tr w:rsidR="00391E0D" w14:paraId="0CC774ED" w14:textId="77777777">
        <w:tc>
          <w:tcPr>
            <w:tcW w:w="3100" w:type="dxa"/>
            <w:shd w:val="clear" w:color="auto" w:fill="F2F5FA"/>
            <w:tcMar>
              <w:top w:w="90" w:type="dxa"/>
              <w:left w:w="130" w:type="dxa"/>
              <w:bottom w:w="90" w:type="dxa"/>
              <w:right w:w="130" w:type="dxa"/>
            </w:tcMar>
            <w:vAlign w:val="center"/>
          </w:tcPr>
          <w:p w14:paraId="069F6F64" w14:textId="77777777" w:rsidR="00391E0D" w:rsidRDefault="00072DB8">
            <w:pPr>
              <w:spacing w:line="260" w:lineRule="auto"/>
            </w:pPr>
            <w:r>
              <w:rPr>
                <w:b/>
                <w:bCs/>
                <w:color w:val="000000"/>
                <w:sz w:val="19"/>
                <w:szCs w:val="19"/>
              </w:rPr>
              <w:t>Relative-day blocks (N−16…N+10, D−3…D+6, C…C+6)</w:t>
            </w:r>
          </w:p>
        </w:tc>
        <w:tc>
          <w:tcPr>
            <w:tcW w:w="1500" w:type="dxa"/>
            <w:shd w:val="clear" w:color="auto" w:fill="F2F5FA"/>
            <w:tcMar>
              <w:top w:w="90" w:type="dxa"/>
              <w:left w:w="130" w:type="dxa"/>
              <w:bottom w:w="90" w:type="dxa"/>
              <w:right w:w="130" w:type="dxa"/>
            </w:tcMar>
            <w:vAlign w:val="center"/>
          </w:tcPr>
          <w:p w14:paraId="2D80F385" w14:textId="77777777" w:rsidR="00391E0D" w:rsidRDefault="00072DB8">
            <w:pPr>
              <w:spacing w:line="260" w:lineRule="auto"/>
            </w:pPr>
            <w:r>
              <w:rPr>
                <w:color w:val="000000"/>
                <w:sz w:val="19"/>
                <w:szCs w:val="19"/>
              </w:rPr>
              <w:t>~44 consecutive days</w:t>
            </w:r>
          </w:p>
        </w:tc>
        <w:tc>
          <w:tcPr>
            <w:tcW w:w="4760" w:type="dxa"/>
            <w:shd w:val="clear" w:color="auto" w:fill="F2F5FA"/>
            <w:tcMar>
              <w:top w:w="90" w:type="dxa"/>
              <w:left w:w="130" w:type="dxa"/>
              <w:bottom w:w="90" w:type="dxa"/>
              <w:right w:w="130" w:type="dxa"/>
            </w:tcMar>
            <w:vAlign w:val="center"/>
          </w:tcPr>
          <w:p w14:paraId="470B04E4" w14:textId="77777777" w:rsidR="00391E0D" w:rsidRDefault="00072DB8">
            <w:pPr>
              <w:spacing w:line="260" w:lineRule="auto"/>
            </w:pPr>
            <w:r>
              <w:rPr>
                <w:color w:val="000000"/>
                <w:sz w:val="19"/>
                <w:szCs w:val="19"/>
              </w:rPr>
              <w:t>Correctly designed and densely covering the Sep–Dec forecast window. These are why the festive window has usable signal at all. Retain unchanged.</w:t>
            </w:r>
          </w:p>
        </w:tc>
      </w:tr>
    </w:tbl>
    <w:p w14:paraId="5ADD5042" w14:textId="77777777" w:rsidR="00391E0D" w:rsidRDefault="00072DB8">
      <w:pPr>
        <w:pStyle w:val="Heading2"/>
        <w:spacing w:before="260" w:after="120"/>
      </w:pPr>
      <w:r>
        <w:rPr>
          <w:b/>
          <w:bCs/>
          <w:sz w:val="25"/>
          <w:szCs w:val="25"/>
        </w:rPr>
        <w:t>6.2  Calendar features and why they are built by hand</w:t>
      </w:r>
    </w:p>
    <w:p w14:paraId="775CDB99" w14:textId="77777777" w:rsidR="00391E0D" w:rsidRDefault="00072DB8">
      <w:pPr>
        <w:spacing w:after="120" w:line="276" w:lineRule="auto"/>
      </w:pPr>
      <w:r>
        <w:rPr>
          <w:color w:val="000000"/>
        </w:rPr>
        <w:t xml:space="preserve">Day-of-week and day-of-month are already in use. They are appended directly to the shared covariate </w:t>
      </w:r>
      <w:proofErr w:type="spellStart"/>
      <w:r>
        <w:rPr>
          <w:color w:val="000000"/>
        </w:rPr>
        <w:t>TimeSeries</w:t>
      </w:r>
      <w:proofErr w:type="spellEnd"/>
      <w:r>
        <w:rPr>
          <w:color w:val="000000"/>
        </w:rPr>
        <w:t xml:space="preserve"> rather than generated through Darts' </w:t>
      </w:r>
      <w:proofErr w:type="spellStart"/>
      <w:r>
        <w:rPr>
          <w:color w:val="000000"/>
        </w:rPr>
        <w:t>add_encoders</w:t>
      </w:r>
      <w:proofErr w:type="spellEnd"/>
      <w:r>
        <w:rPr>
          <w:color w:val="000000"/>
        </w:rPr>
        <w:t>, and that choice is deliberate.</w:t>
      </w:r>
    </w:p>
    <w:tbl>
      <w:tblPr>
        <w:tblW w:w="9360" w:type="dxa"/>
        <w:tblBorders>
          <w:top w:val="single" w:sz="2" w:space="0" w:color="F2F5FA"/>
          <w:left w:val="single" w:sz="18" w:space="0" w:color="1F3864"/>
          <w:bottom w:val="single" w:sz="2" w:space="0" w:color="F2F5FA"/>
          <w:right w:val="single" w:sz="2" w:space="0" w:color="F2F5FA"/>
        </w:tblBorders>
        <w:tblCellMar>
          <w:left w:w="10" w:type="dxa"/>
          <w:right w:w="10" w:type="dxa"/>
        </w:tblCellMar>
        <w:tblLook w:val="04A0" w:firstRow="1" w:lastRow="0" w:firstColumn="1" w:lastColumn="0" w:noHBand="0" w:noVBand="1"/>
      </w:tblPr>
      <w:tblGrid>
        <w:gridCol w:w="9360"/>
      </w:tblGrid>
      <w:tr w:rsidR="00391E0D" w14:paraId="0A987281" w14:textId="77777777">
        <w:tc>
          <w:tcPr>
            <w:tcW w:w="9360" w:type="dxa"/>
            <w:shd w:val="clear" w:color="auto" w:fill="F2F5FA"/>
            <w:tcMar>
              <w:top w:w="160" w:type="dxa"/>
              <w:left w:w="200" w:type="dxa"/>
              <w:bottom w:w="160" w:type="dxa"/>
              <w:right w:w="200" w:type="dxa"/>
            </w:tcMar>
          </w:tcPr>
          <w:p w14:paraId="406184CD" w14:textId="77777777" w:rsidR="00391E0D" w:rsidRDefault="00072DB8">
            <w:pPr>
              <w:spacing w:after="80"/>
            </w:pPr>
            <w:r>
              <w:rPr>
                <w:b/>
                <w:bCs/>
                <w:color w:val="1F3864"/>
              </w:rPr>
              <w:t>The reason is memory</w:t>
            </w:r>
          </w:p>
          <w:p w14:paraId="78308F00" w14:textId="77777777" w:rsidR="00391E0D" w:rsidRDefault="00072DB8">
            <w:pPr>
              <w:spacing w:after="60" w:line="264" w:lineRule="auto"/>
            </w:pPr>
            <w:r>
              <w:rPr>
                <w:sz w:val="20"/>
                <w:szCs w:val="20"/>
              </w:rPr>
              <w:t xml:space="preserve">The pipeline holds one covariate </w:t>
            </w:r>
            <w:proofErr w:type="spellStart"/>
            <w:r>
              <w:rPr>
                <w:sz w:val="20"/>
                <w:szCs w:val="20"/>
              </w:rPr>
              <w:t>TimeSeries</w:t>
            </w:r>
            <w:proofErr w:type="spellEnd"/>
            <w:r>
              <w:rPr>
                <w:sz w:val="20"/>
                <w:szCs w:val="20"/>
              </w:rPr>
              <w:t xml:space="preserve"> in RAM and hands the same object to every series by reference. Adding two more columns to it costs a few kilobytes, once, for the entire run.</w:t>
            </w:r>
          </w:p>
          <w:p w14:paraId="79EAEDBB" w14:textId="77777777" w:rsidR="00391E0D" w:rsidRDefault="00072DB8">
            <w:pPr>
              <w:spacing w:after="60" w:line="264" w:lineRule="auto"/>
            </w:pPr>
            <w:proofErr w:type="spellStart"/>
            <w:r>
              <w:rPr>
                <w:sz w:val="20"/>
                <w:szCs w:val="20"/>
              </w:rPr>
              <w:t>add_encoders</w:t>
            </w:r>
            <w:proofErr w:type="spellEnd"/>
            <w:r>
              <w:rPr>
                <w:sz w:val="20"/>
                <w:szCs w:val="20"/>
              </w:rPr>
              <w:t xml:space="preserve"> generates covariates per series from each series' own time index. At this series count that would give up the shared-object arrangement the lazy-loading architecture was built around.</w:t>
            </w:r>
          </w:p>
          <w:p w14:paraId="44AF0D27" w14:textId="77777777" w:rsidR="00391E0D" w:rsidRDefault="00072DB8">
            <w:pPr>
              <w:spacing w:after="60" w:line="264" w:lineRule="auto"/>
            </w:pPr>
            <w:r>
              <w:rPr>
                <w:sz w:val="20"/>
                <w:szCs w:val="20"/>
              </w:rPr>
              <w:t>There is a secondary benefit: the shared covariate object is saved and reused at prediction time, so training and forecasting read the same artifact and it can be inspected directly.</w:t>
            </w:r>
          </w:p>
        </w:tc>
      </w:tr>
    </w:tbl>
    <w:p w14:paraId="156D7078" w14:textId="77777777" w:rsidR="00391E0D" w:rsidRDefault="00072DB8">
      <w:pPr>
        <w:pStyle w:val="Heading2"/>
        <w:spacing w:before="260" w:after="120"/>
      </w:pPr>
      <w:r>
        <w:rPr>
          <w:b/>
          <w:bCs/>
          <w:sz w:val="25"/>
          <w:szCs w:val="25"/>
        </w:rPr>
        <w:t>6.3  What to change</w:t>
      </w:r>
    </w:p>
    <w:p w14:paraId="22806883" w14:textId="77777777" w:rsidR="00391E0D" w:rsidRDefault="00072DB8">
      <w:pPr>
        <w:pStyle w:val="ListParagraph"/>
        <w:numPr>
          <w:ilvl w:val="0"/>
          <w:numId w:val="2"/>
        </w:numPr>
        <w:spacing w:after="70" w:line="276" w:lineRule="auto"/>
      </w:pPr>
      <w:r>
        <w:rPr>
          <w:b/>
          <w:bCs/>
          <w:color w:val="000000"/>
        </w:rPr>
        <w:t>Add cyclic day-of-week</w:t>
      </w:r>
      <w:r>
        <w:rPr>
          <w:color w:val="000000"/>
        </w:rPr>
        <w:t xml:space="preserve"> as a sine and cosine pair, appended to the shared covariate object in the same way as the existing calendar features. This places Sunday adjacent to Monday rather than six units apart, which a plain numeric day index does not.</w:t>
      </w:r>
    </w:p>
    <w:p w14:paraId="333636EB" w14:textId="77777777" w:rsidR="00391E0D" w:rsidRDefault="00072DB8">
      <w:pPr>
        <w:pStyle w:val="ListParagraph"/>
        <w:numPr>
          <w:ilvl w:val="0"/>
          <w:numId w:val="2"/>
        </w:numPr>
        <w:spacing w:after="70" w:line="276" w:lineRule="auto"/>
      </w:pPr>
      <w:r>
        <w:rPr>
          <w:b/>
          <w:bCs/>
          <w:color w:val="000000"/>
        </w:rPr>
        <w:t>Collapse the 24 minor single-day flags</w:t>
      </w:r>
      <w:r>
        <w:rPr>
          <w:color w:val="000000"/>
        </w:rPr>
        <w:t xml:space="preserve"> into two or three dense features: a binary holiday indicator, a signed distance to the nearest major festival that ramps smoothly, and a rolling seven-day festival-intensity count. Fewer, denser inputs are more robust than many sparse binaries — the same fix that resolved the attention collapse on the monthly model.</w:t>
      </w:r>
    </w:p>
    <w:p w14:paraId="41E59A3B" w14:textId="77777777" w:rsidR="00391E0D" w:rsidRDefault="00072DB8">
      <w:pPr>
        <w:pStyle w:val="ListParagraph"/>
        <w:numPr>
          <w:ilvl w:val="0"/>
          <w:numId w:val="2"/>
        </w:numPr>
        <w:spacing w:after="70" w:line="276" w:lineRule="auto"/>
      </w:pPr>
      <w:r>
        <w:rPr>
          <w:b/>
          <w:bCs/>
          <w:color w:val="000000"/>
        </w:rPr>
        <w:t>Retain the N, D and C relative-day blocks</w:t>
      </w:r>
      <w:r>
        <w:rPr>
          <w:color w:val="000000"/>
        </w:rPr>
        <w:t xml:space="preserve"> exactly as they are.</w:t>
      </w:r>
    </w:p>
    <w:p w14:paraId="205AA081" w14:textId="77777777" w:rsidR="00391E0D" w:rsidRDefault="00072DB8">
      <w:pPr>
        <w:pStyle w:val="ListParagraph"/>
        <w:numPr>
          <w:ilvl w:val="0"/>
          <w:numId w:val="2"/>
        </w:numPr>
        <w:spacing w:after="70" w:line="276" w:lineRule="auto"/>
      </w:pPr>
      <w:r>
        <w:rPr>
          <w:b/>
          <w:bCs/>
          <w:color w:val="000000"/>
        </w:rPr>
        <w:t xml:space="preserve">Check festival relevance by family. </w:t>
      </w:r>
      <w:r>
        <w:rPr>
          <w:color w:val="000000"/>
        </w:rPr>
        <w:t>Some festivals may drive scooter and motorcycle demand differently. If the model is trained across all families, the static covariates must carry enough context for the network to condition festival response on family.</w:t>
      </w:r>
    </w:p>
    <w:p w14:paraId="4FCC2AE3" w14:textId="77777777" w:rsidR="00391E0D" w:rsidRDefault="00072DB8">
      <w:pPr>
        <w:pStyle w:val="Heading1"/>
        <w:spacing w:before="360" w:after="160"/>
      </w:pPr>
      <w:r>
        <w:rPr>
          <w:b/>
          <w:bCs/>
          <w:color w:val="1F3864"/>
          <w:sz w:val="30"/>
          <w:szCs w:val="30"/>
        </w:rPr>
        <w:t>7. Priority 6 — Categorical Embeddings for Static Covariates</w:t>
      </w:r>
    </w:p>
    <w:p w14:paraId="66961EE1" w14:textId="77777777" w:rsidR="00391E0D" w:rsidRDefault="00072DB8">
      <w:pPr>
        <w:spacing w:after="120" w:line="276" w:lineRule="auto"/>
      </w:pPr>
      <w:r>
        <w:rPr>
          <w:color w:val="000000"/>
        </w:rPr>
        <w:t>Static covariates are ordinal-encoded before being passed to the model: each category becomes a number. That is expected — the network needs numeric input. The problem is what happens next.</w:t>
      </w:r>
    </w:p>
    <w:tbl>
      <w:tblPr>
        <w:tblW w:w="9360" w:type="dxa"/>
        <w:tblBorders>
          <w:top w:val="single" w:sz="2" w:space="0" w:color="FFF4E5"/>
          <w:left w:val="single" w:sz="18" w:space="0" w:color="B26B00"/>
          <w:bottom w:val="single" w:sz="2" w:space="0" w:color="FFF4E5"/>
          <w:right w:val="single" w:sz="2" w:space="0" w:color="FFF4E5"/>
        </w:tblBorders>
        <w:tblCellMar>
          <w:left w:w="10" w:type="dxa"/>
          <w:right w:w="10" w:type="dxa"/>
        </w:tblCellMar>
        <w:tblLook w:val="04A0" w:firstRow="1" w:lastRow="0" w:firstColumn="1" w:lastColumn="0" w:noHBand="0" w:noVBand="1"/>
      </w:tblPr>
      <w:tblGrid>
        <w:gridCol w:w="9360"/>
      </w:tblGrid>
      <w:tr w:rsidR="00391E0D" w14:paraId="4AB4145E" w14:textId="77777777">
        <w:tc>
          <w:tcPr>
            <w:tcW w:w="9360" w:type="dxa"/>
            <w:shd w:val="clear" w:color="auto" w:fill="FFF4E5"/>
            <w:tcMar>
              <w:top w:w="160" w:type="dxa"/>
              <w:left w:w="200" w:type="dxa"/>
              <w:bottom w:w="160" w:type="dxa"/>
              <w:right w:w="200" w:type="dxa"/>
            </w:tcMar>
          </w:tcPr>
          <w:p w14:paraId="282B8477" w14:textId="77777777" w:rsidR="00391E0D" w:rsidRDefault="00072DB8">
            <w:pPr>
              <w:spacing w:after="80"/>
            </w:pPr>
            <w:r>
              <w:rPr>
                <w:b/>
                <w:bCs/>
                <w:color w:val="B26B00"/>
              </w:rPr>
              <w:lastRenderedPageBreak/>
              <w:t>What the model is being told</w:t>
            </w:r>
          </w:p>
          <w:p w14:paraId="2885A432" w14:textId="77777777" w:rsidR="00391E0D" w:rsidRDefault="00072DB8">
            <w:pPr>
              <w:spacing w:after="60" w:line="264" w:lineRule="auto"/>
            </w:pPr>
            <w:r>
              <w:rPr>
                <w:sz w:val="20"/>
                <w:szCs w:val="20"/>
              </w:rPr>
              <w:t xml:space="preserve">Nothing in the </w:t>
            </w:r>
            <w:proofErr w:type="spellStart"/>
            <w:r>
              <w:rPr>
                <w:sz w:val="20"/>
                <w:szCs w:val="20"/>
              </w:rPr>
              <w:t>TFTModel</w:t>
            </w:r>
            <w:proofErr w:type="spellEnd"/>
            <w:r>
              <w:rPr>
                <w:sz w:val="20"/>
                <w:szCs w:val="20"/>
              </w:rPr>
              <w:t xml:space="preserve"> constructor declares these columns as categorical. Without that declaration, the network reads them as continuous values — so dealer code 4,102 sits numerically between dealer 4,101 and dealer 4,103, and the distance between them is treated as comparable to the distance between dealer 10 and dealer 3,000.</w:t>
            </w:r>
          </w:p>
          <w:p w14:paraId="29F8D946" w14:textId="77777777" w:rsidR="00391E0D" w:rsidRDefault="00072DB8">
            <w:pPr>
              <w:spacing w:after="60" w:line="264" w:lineRule="auto"/>
            </w:pPr>
            <w:r>
              <w:rPr>
                <w:sz w:val="20"/>
                <w:szCs w:val="20"/>
              </w:rPr>
              <w:t>None of that is true. The same applies to MODEL_NAME, COLOUR, DEALER_CITY and ZONAL_OFFICE_NAME. On high-cardinality identity columns such as PARENT_DEALER_CODE this is a substantial distortion of the input space.</w:t>
            </w:r>
          </w:p>
        </w:tc>
      </w:tr>
    </w:tbl>
    <w:p w14:paraId="797E2DFD" w14:textId="77777777" w:rsidR="00391E0D" w:rsidRDefault="00072DB8">
      <w:pPr>
        <w:spacing w:after="120" w:line="276" w:lineRule="auto"/>
      </w:pPr>
      <w:r>
        <w:rPr>
          <w:color w:val="000000"/>
        </w:rPr>
        <w:t xml:space="preserve">Note that this is not a question of which encoder is used. </w:t>
      </w:r>
      <w:proofErr w:type="spellStart"/>
      <w:r>
        <w:rPr>
          <w:color w:val="000000"/>
        </w:rPr>
        <w:t>StaticCovariatesTransformer</w:t>
      </w:r>
      <w:proofErr w:type="spellEnd"/>
      <w:r>
        <w:rPr>
          <w:color w:val="000000"/>
        </w:rPr>
        <w:t xml:space="preserve"> also ordinal-encodes categorical columns, so switching between it and a plain </w:t>
      </w:r>
      <w:proofErr w:type="spellStart"/>
      <w:r>
        <w:rPr>
          <w:color w:val="000000"/>
        </w:rPr>
        <w:t>OrdinalEncoder</w:t>
      </w:r>
      <w:proofErr w:type="spellEnd"/>
      <w:r>
        <w:rPr>
          <w:color w:val="000000"/>
        </w:rPr>
        <w:t xml:space="preserve"> changes nothing. What matters is the </w:t>
      </w:r>
      <w:proofErr w:type="spellStart"/>
      <w:r>
        <w:rPr>
          <w:color w:val="000000"/>
        </w:rPr>
        <w:t>categorical_embedding_sizes</w:t>
      </w:r>
      <w:proofErr w:type="spellEnd"/>
      <w:r>
        <w:rPr>
          <w:color w:val="000000"/>
        </w:rPr>
        <w:t xml:space="preserve"> argument on the </w:t>
      </w:r>
      <w:proofErr w:type="spellStart"/>
      <w:r>
        <w:rPr>
          <w:color w:val="000000"/>
        </w:rPr>
        <w:t>TFTModel</w:t>
      </w:r>
      <w:proofErr w:type="spellEnd"/>
      <w:r>
        <w:rPr>
          <w:color w:val="000000"/>
        </w:rPr>
        <w:t xml:space="preserve"> constructor, which is not currently passed.</w:t>
      </w:r>
    </w:p>
    <w:p w14:paraId="78B74CED" w14:textId="77777777" w:rsidR="00391E0D" w:rsidRDefault="00072DB8">
      <w:pPr>
        <w:spacing w:after="120" w:line="276" w:lineRule="auto"/>
      </w:pPr>
      <w:r>
        <w:rPr>
          <w:color w:val="000000"/>
        </w:rPr>
        <w:t>With it, each category receives a learned vector, and the model discovers which dealers behave alike rather than being told a false ordering.</w:t>
      </w:r>
    </w:p>
    <w:p w14:paraId="2B0F106B" w14:textId="77777777" w:rsidR="00391E0D" w:rsidRDefault="00072DB8">
      <w:pPr>
        <w:spacing w:after="60" w:line="276" w:lineRule="auto"/>
      </w:pPr>
      <w:r>
        <w:rPr>
          <w:color w:val="000000"/>
        </w:rPr>
        <w:t>One further simplification: where SEGMENT maps one-to-one onto MODEL_FAMILY, it is redundant and can be dropped.</w:t>
      </w:r>
    </w:p>
    <w:p w14:paraId="7BF59722" w14:textId="77777777" w:rsidR="00391E0D" w:rsidRDefault="00072DB8">
      <w:r>
        <w:br w:type="page"/>
      </w:r>
    </w:p>
    <w:p w14:paraId="17B3F162" w14:textId="77777777" w:rsidR="00391E0D" w:rsidRDefault="00072DB8">
      <w:pPr>
        <w:pStyle w:val="Heading1"/>
        <w:spacing w:before="360" w:after="160"/>
      </w:pPr>
      <w:r>
        <w:rPr>
          <w:b/>
          <w:bCs/>
          <w:color w:val="1F3864"/>
          <w:sz w:val="30"/>
          <w:szCs w:val="30"/>
        </w:rPr>
        <w:lastRenderedPageBreak/>
        <w:t>8. Priority 7 — Make the Growth Assumption Explicit</w:t>
      </w:r>
    </w:p>
    <w:p w14:paraId="6D400428" w14:textId="77777777" w:rsidR="00391E0D" w:rsidRDefault="00072DB8">
      <w:pPr>
        <w:pStyle w:val="Heading2"/>
        <w:spacing w:before="260" w:after="120"/>
      </w:pPr>
      <w:r>
        <w:rPr>
          <w:b/>
          <w:bCs/>
          <w:sz w:val="25"/>
          <w:szCs w:val="25"/>
        </w:rPr>
        <w:t>8.1  The problem with an implicit assumption</w:t>
      </w:r>
    </w:p>
    <w:p w14:paraId="4BEC5E47" w14:textId="77777777" w:rsidR="00391E0D" w:rsidRDefault="00072DB8">
      <w:pPr>
        <w:spacing w:after="120" w:line="276" w:lineRule="auto"/>
      </w:pPr>
      <w:r>
        <w:rPr>
          <w:color w:val="000000"/>
        </w:rPr>
        <w:t>The expectation that recent growth continues into the festive season is a business judgement. At present it is expressed by adjusting the validation split — an indirect mechanism which, as Section 2.2 sets out, does not achieve what was intended.</w:t>
      </w:r>
    </w:p>
    <w:p w14:paraId="45E9AB6D" w14:textId="77777777" w:rsidR="00391E0D" w:rsidRDefault="00072DB8">
      <w:pPr>
        <w:spacing w:after="120" w:line="276" w:lineRule="auto"/>
      </w:pPr>
      <w:r>
        <w:rPr>
          <w:color w:val="000000"/>
        </w:rPr>
        <w:t xml:space="preserve">It also carries a risk already observed on the monthly model, which over-anchored to recent declining months and </w:t>
      </w:r>
      <w:proofErr w:type="spellStart"/>
      <w:r>
        <w:rPr>
          <w:color w:val="000000"/>
        </w:rPr>
        <w:t>underforecast</w:t>
      </w:r>
      <w:proofErr w:type="spellEnd"/>
      <w:r>
        <w:rPr>
          <w:color w:val="000000"/>
        </w:rPr>
        <w:t xml:space="preserve"> as a result. The same mechanism runs in both directions: an encoder that over-anchors to a decline can equally over-anchor to a rise. Relying on the network to infer the right level is not a controlled approach.</w:t>
      </w:r>
    </w:p>
    <w:p w14:paraId="30624213" w14:textId="77777777" w:rsidR="00391E0D" w:rsidRDefault="00072DB8">
      <w:pPr>
        <w:pStyle w:val="Heading2"/>
        <w:spacing w:before="260" w:after="120"/>
      </w:pPr>
      <w:r>
        <w:rPr>
          <w:b/>
          <w:bCs/>
          <w:sz w:val="25"/>
          <w:szCs w:val="25"/>
        </w:rPr>
        <w:t>8.2  What to change</w:t>
      </w:r>
    </w:p>
    <w:p w14:paraId="448DA5B3" w14:textId="77777777" w:rsidR="00391E0D" w:rsidRDefault="00072DB8">
      <w:pPr>
        <w:pStyle w:val="ListParagraph"/>
        <w:numPr>
          <w:ilvl w:val="0"/>
          <w:numId w:val="2"/>
        </w:numPr>
        <w:spacing w:after="70" w:line="276" w:lineRule="auto"/>
      </w:pPr>
      <w:r>
        <w:rPr>
          <w:b/>
          <w:bCs/>
          <w:color w:val="000000"/>
        </w:rPr>
        <w:t>The TFT learns festive shape</w:t>
      </w:r>
      <w:r>
        <w:rPr>
          <w:color w:val="000000"/>
        </w:rPr>
        <w:t xml:space="preserve"> — the relative pattern of demand across </w:t>
      </w:r>
      <w:proofErr w:type="spellStart"/>
      <w:r>
        <w:rPr>
          <w:color w:val="000000"/>
        </w:rPr>
        <w:t>Pitru</w:t>
      </w:r>
      <w:proofErr w:type="spellEnd"/>
      <w:r>
        <w:rPr>
          <w:color w:val="000000"/>
        </w:rPr>
        <w:t xml:space="preserve"> </w:t>
      </w:r>
      <w:proofErr w:type="spellStart"/>
      <w:r>
        <w:rPr>
          <w:color w:val="000000"/>
        </w:rPr>
        <w:t>Paksha</w:t>
      </w:r>
      <w:proofErr w:type="spellEnd"/>
      <w:r>
        <w:rPr>
          <w:color w:val="000000"/>
        </w:rPr>
        <w:t xml:space="preserve">, Navratri, Dhanteras, Diwali, Bhai </w:t>
      </w:r>
      <w:proofErr w:type="spellStart"/>
      <w:r>
        <w:rPr>
          <w:color w:val="000000"/>
        </w:rPr>
        <w:t>Dooj</w:t>
      </w:r>
      <w:proofErr w:type="spellEnd"/>
      <w:r>
        <w:rPr>
          <w:color w:val="000000"/>
        </w:rPr>
        <w:t xml:space="preserve"> and </w:t>
      </w:r>
      <w:proofErr w:type="spellStart"/>
      <w:r>
        <w:rPr>
          <w:color w:val="000000"/>
        </w:rPr>
        <w:t>Chhath</w:t>
      </w:r>
      <w:proofErr w:type="spellEnd"/>
      <w:r>
        <w:rPr>
          <w:color w:val="000000"/>
        </w:rPr>
        <w:t>. Validated on held-out groups over Sep–Dec 2025.</w:t>
      </w:r>
    </w:p>
    <w:p w14:paraId="091A92DB" w14:textId="77777777" w:rsidR="00391E0D" w:rsidRDefault="00072DB8">
      <w:pPr>
        <w:pStyle w:val="ListParagraph"/>
        <w:numPr>
          <w:ilvl w:val="0"/>
          <w:numId w:val="2"/>
        </w:numPr>
        <w:spacing w:after="70" w:line="276" w:lineRule="auto"/>
      </w:pPr>
      <w:r>
        <w:rPr>
          <w:b/>
          <w:bCs/>
          <w:color w:val="000000"/>
        </w:rPr>
        <w:t>A level factor is applied on top</w:t>
      </w:r>
      <w:r>
        <w:rPr>
          <w:color w:val="000000"/>
        </w:rPr>
        <w:t xml:space="preserve"> — a growth multiplier derived from recent year-on-year performance and agreed with the commercial team, set separately by product line where the evidence supports it.</w:t>
      </w:r>
    </w:p>
    <w:p w14:paraId="5B809254" w14:textId="77777777" w:rsidR="00391E0D" w:rsidRDefault="00072DB8">
      <w:pPr>
        <w:spacing w:after="120" w:line="276" w:lineRule="auto"/>
      </w:pPr>
      <w:r>
        <w:rPr>
          <w:color w:val="000000"/>
        </w:rPr>
        <w:t>This turns the growth assumption into a single auditable number that can be shown on a slide, discussed and revised without retraining. If the view later moderates, a scalar changes rather than a twelve-hour training run.</w:t>
      </w:r>
    </w:p>
    <w:p w14:paraId="6E7A9840" w14:textId="77777777" w:rsidR="00391E0D" w:rsidRDefault="00072DB8">
      <w:pPr>
        <w:pStyle w:val="Heading2"/>
        <w:spacing w:before="260" w:after="120"/>
      </w:pPr>
      <w:r>
        <w:rPr>
          <w:b/>
          <w:bCs/>
          <w:sz w:val="25"/>
          <w:szCs w:val="25"/>
        </w:rPr>
        <w:t>8.3  Validate the assumption before applying it</w:t>
      </w:r>
    </w:p>
    <w:p w14:paraId="702FB320" w14:textId="77777777" w:rsidR="00391E0D" w:rsidRDefault="00072DB8">
      <w:pPr>
        <w:spacing w:after="120" w:line="276" w:lineRule="auto"/>
      </w:pPr>
      <w:r>
        <w:rPr>
          <w:color w:val="000000"/>
        </w:rPr>
        <w:t>"Base-month growth carries into the festive season" is a hypothesis, and it is testable with data already held. For 2023→2024 and 2024→2025, compare year-on-year growth in the base months against year-on-year growth in September to December.</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300"/>
        <w:gridCol w:w="5060"/>
      </w:tblGrid>
      <w:tr w:rsidR="00391E0D" w14:paraId="5D65C60E" w14:textId="77777777">
        <w:trPr>
          <w:tblHeader/>
        </w:trPr>
        <w:tc>
          <w:tcPr>
            <w:tcW w:w="4300" w:type="dxa"/>
            <w:shd w:val="clear" w:color="auto" w:fill="1F3864"/>
            <w:tcMar>
              <w:top w:w="90" w:type="dxa"/>
              <w:left w:w="130" w:type="dxa"/>
              <w:bottom w:w="90" w:type="dxa"/>
              <w:right w:w="130" w:type="dxa"/>
            </w:tcMar>
            <w:vAlign w:val="center"/>
          </w:tcPr>
          <w:p w14:paraId="70F7D7C5" w14:textId="77777777" w:rsidR="00391E0D" w:rsidRDefault="00072DB8">
            <w:pPr>
              <w:spacing w:line="260" w:lineRule="auto"/>
            </w:pPr>
            <w:r>
              <w:rPr>
                <w:b/>
                <w:bCs/>
                <w:color w:val="FFFFFF"/>
                <w:sz w:val="19"/>
                <w:szCs w:val="19"/>
              </w:rPr>
              <w:t>If the historical pattern shows…</w:t>
            </w:r>
          </w:p>
        </w:tc>
        <w:tc>
          <w:tcPr>
            <w:tcW w:w="5060" w:type="dxa"/>
            <w:shd w:val="clear" w:color="auto" w:fill="1F3864"/>
            <w:tcMar>
              <w:top w:w="90" w:type="dxa"/>
              <w:left w:w="130" w:type="dxa"/>
              <w:bottom w:w="90" w:type="dxa"/>
              <w:right w:w="130" w:type="dxa"/>
            </w:tcMar>
            <w:vAlign w:val="center"/>
          </w:tcPr>
          <w:p w14:paraId="6F1D9839" w14:textId="77777777" w:rsidR="00391E0D" w:rsidRDefault="00072DB8">
            <w:pPr>
              <w:spacing w:line="260" w:lineRule="auto"/>
            </w:pPr>
            <w:r>
              <w:rPr>
                <w:b/>
                <w:bCs/>
                <w:color w:val="FFFFFF"/>
                <w:sz w:val="19"/>
                <w:szCs w:val="19"/>
              </w:rPr>
              <w:t>Then…</w:t>
            </w:r>
          </w:p>
        </w:tc>
      </w:tr>
      <w:tr w:rsidR="00391E0D" w14:paraId="3446A48F" w14:textId="77777777">
        <w:tc>
          <w:tcPr>
            <w:tcW w:w="4300" w:type="dxa"/>
            <w:tcMar>
              <w:top w:w="90" w:type="dxa"/>
              <w:left w:w="130" w:type="dxa"/>
              <w:bottom w:w="90" w:type="dxa"/>
              <w:right w:w="130" w:type="dxa"/>
            </w:tcMar>
            <w:vAlign w:val="center"/>
          </w:tcPr>
          <w:p w14:paraId="246BF0F6" w14:textId="77777777" w:rsidR="00391E0D" w:rsidRDefault="00072DB8">
            <w:pPr>
              <w:spacing w:line="260" w:lineRule="auto"/>
            </w:pPr>
            <w:r>
              <w:rPr>
                <w:b/>
                <w:bCs/>
                <w:color w:val="000000"/>
                <w:sz w:val="19"/>
                <w:szCs w:val="19"/>
              </w:rPr>
              <w:t>Base growth exceeded festive growth</w:t>
            </w:r>
          </w:p>
        </w:tc>
        <w:tc>
          <w:tcPr>
            <w:tcW w:w="5060" w:type="dxa"/>
            <w:tcMar>
              <w:top w:w="90" w:type="dxa"/>
              <w:left w:w="130" w:type="dxa"/>
              <w:bottom w:w="90" w:type="dxa"/>
              <w:right w:w="130" w:type="dxa"/>
            </w:tcMar>
            <w:vAlign w:val="center"/>
          </w:tcPr>
          <w:p w14:paraId="5C07DA18" w14:textId="77777777" w:rsidR="00391E0D" w:rsidRDefault="00072DB8">
            <w:pPr>
              <w:spacing w:line="260" w:lineRule="auto"/>
            </w:pPr>
            <w:r>
              <w:rPr>
                <w:color w:val="000000"/>
                <w:sz w:val="19"/>
                <w:szCs w:val="19"/>
              </w:rPr>
              <w:t xml:space="preserve">Applying base growth directly will </w:t>
            </w:r>
            <w:proofErr w:type="spellStart"/>
            <w:r>
              <w:rPr>
                <w:color w:val="000000"/>
                <w:sz w:val="19"/>
                <w:szCs w:val="19"/>
              </w:rPr>
              <w:t>overforecast</w:t>
            </w:r>
            <w:proofErr w:type="spellEnd"/>
            <w:r>
              <w:rPr>
                <w:color w:val="000000"/>
                <w:sz w:val="19"/>
                <w:szCs w:val="19"/>
              </w:rPr>
              <w:t>. A damping factor below 1.0 is required.</w:t>
            </w:r>
          </w:p>
        </w:tc>
      </w:tr>
      <w:tr w:rsidR="00391E0D" w14:paraId="61FB2A64" w14:textId="77777777">
        <w:tc>
          <w:tcPr>
            <w:tcW w:w="4300" w:type="dxa"/>
            <w:shd w:val="clear" w:color="auto" w:fill="F2F5FA"/>
            <w:tcMar>
              <w:top w:w="90" w:type="dxa"/>
              <w:left w:w="130" w:type="dxa"/>
              <w:bottom w:w="90" w:type="dxa"/>
              <w:right w:w="130" w:type="dxa"/>
            </w:tcMar>
            <w:vAlign w:val="center"/>
          </w:tcPr>
          <w:p w14:paraId="1523D3A0" w14:textId="77777777" w:rsidR="00391E0D" w:rsidRDefault="00072DB8">
            <w:pPr>
              <w:spacing w:line="260" w:lineRule="auto"/>
            </w:pPr>
            <w:r>
              <w:rPr>
                <w:b/>
                <w:bCs/>
                <w:color w:val="000000"/>
                <w:sz w:val="19"/>
                <w:szCs w:val="19"/>
              </w:rPr>
              <w:t>Base growth understated festive growth</w:t>
            </w:r>
          </w:p>
        </w:tc>
        <w:tc>
          <w:tcPr>
            <w:tcW w:w="5060" w:type="dxa"/>
            <w:shd w:val="clear" w:color="auto" w:fill="F2F5FA"/>
            <w:tcMar>
              <w:top w:w="90" w:type="dxa"/>
              <w:left w:w="130" w:type="dxa"/>
              <w:bottom w:w="90" w:type="dxa"/>
              <w:right w:w="130" w:type="dxa"/>
            </w:tcMar>
            <w:vAlign w:val="center"/>
          </w:tcPr>
          <w:p w14:paraId="1A7A5427" w14:textId="77777777" w:rsidR="00391E0D" w:rsidRDefault="00072DB8">
            <w:pPr>
              <w:spacing w:line="260" w:lineRule="auto"/>
            </w:pPr>
            <w:r>
              <w:rPr>
                <w:color w:val="000000"/>
                <w:sz w:val="19"/>
                <w:szCs w:val="19"/>
              </w:rPr>
              <w:t>There is a documented amplification multiplier to apply, with evidence behind it.</w:t>
            </w:r>
          </w:p>
        </w:tc>
      </w:tr>
      <w:tr w:rsidR="00391E0D" w14:paraId="1EB84A5D" w14:textId="77777777">
        <w:tc>
          <w:tcPr>
            <w:tcW w:w="4300" w:type="dxa"/>
            <w:tcMar>
              <w:top w:w="90" w:type="dxa"/>
              <w:left w:w="130" w:type="dxa"/>
              <w:bottom w:w="90" w:type="dxa"/>
              <w:right w:w="130" w:type="dxa"/>
            </w:tcMar>
            <w:vAlign w:val="center"/>
          </w:tcPr>
          <w:p w14:paraId="7B963071" w14:textId="77777777" w:rsidR="00391E0D" w:rsidRDefault="00072DB8">
            <w:pPr>
              <w:spacing w:line="260" w:lineRule="auto"/>
            </w:pPr>
            <w:r>
              <w:rPr>
                <w:b/>
                <w:bCs/>
                <w:color w:val="000000"/>
                <w:sz w:val="19"/>
                <w:szCs w:val="19"/>
              </w:rPr>
              <w:t>No stable relationship</w:t>
            </w:r>
          </w:p>
        </w:tc>
        <w:tc>
          <w:tcPr>
            <w:tcW w:w="5060" w:type="dxa"/>
            <w:tcMar>
              <w:top w:w="90" w:type="dxa"/>
              <w:left w:w="130" w:type="dxa"/>
              <w:bottom w:w="90" w:type="dxa"/>
              <w:right w:w="130" w:type="dxa"/>
            </w:tcMar>
            <w:vAlign w:val="center"/>
          </w:tcPr>
          <w:p w14:paraId="4BCD5164" w14:textId="77777777" w:rsidR="00391E0D" w:rsidRDefault="00072DB8">
            <w:pPr>
              <w:spacing w:line="260" w:lineRule="auto"/>
            </w:pPr>
            <w:r>
              <w:rPr>
                <w:color w:val="000000"/>
                <w:sz w:val="19"/>
                <w:szCs w:val="19"/>
              </w:rPr>
              <w:t>The assumption is unsupported. Set the level factor conservatively and state the uncertainty.</w:t>
            </w:r>
          </w:p>
        </w:tc>
      </w:tr>
    </w:tbl>
    <w:p w14:paraId="1F098DE1" w14:textId="77777777" w:rsidR="00391E0D" w:rsidRDefault="00072DB8">
      <w:pPr>
        <w:spacing w:after="120" w:line="276" w:lineRule="auto"/>
      </w:pPr>
      <w:r>
        <w:rPr>
          <w:color w:val="000000"/>
        </w:rPr>
        <w:t>Two years is thin evidence and should be presented as such, but it is materially better than an untested one-to-one pass-through.</w:t>
      </w:r>
    </w:p>
    <w:tbl>
      <w:tblPr>
        <w:tblW w:w="9360" w:type="dxa"/>
        <w:tblBorders>
          <w:top w:val="single" w:sz="2" w:space="0" w:color="F2F5FA"/>
          <w:left w:val="single" w:sz="18" w:space="0" w:color="1F3864"/>
          <w:bottom w:val="single" w:sz="2" w:space="0" w:color="F2F5FA"/>
          <w:right w:val="single" w:sz="2" w:space="0" w:color="F2F5FA"/>
        </w:tblBorders>
        <w:tblCellMar>
          <w:left w:w="10" w:type="dxa"/>
          <w:right w:w="10" w:type="dxa"/>
        </w:tblCellMar>
        <w:tblLook w:val="04A0" w:firstRow="1" w:lastRow="0" w:firstColumn="1" w:lastColumn="0" w:noHBand="0" w:noVBand="1"/>
      </w:tblPr>
      <w:tblGrid>
        <w:gridCol w:w="9360"/>
      </w:tblGrid>
      <w:tr w:rsidR="00391E0D" w14:paraId="57D8CED5" w14:textId="77777777">
        <w:tc>
          <w:tcPr>
            <w:tcW w:w="9360" w:type="dxa"/>
            <w:shd w:val="clear" w:color="auto" w:fill="F2F5FA"/>
            <w:tcMar>
              <w:top w:w="160" w:type="dxa"/>
              <w:left w:w="200" w:type="dxa"/>
              <w:bottom w:w="160" w:type="dxa"/>
              <w:right w:w="200" w:type="dxa"/>
            </w:tcMar>
          </w:tcPr>
          <w:p w14:paraId="4C94BE24" w14:textId="77777777" w:rsidR="00391E0D" w:rsidRDefault="00072DB8">
            <w:pPr>
              <w:spacing w:after="80"/>
            </w:pPr>
            <w:r>
              <w:rPr>
                <w:b/>
                <w:bCs/>
                <w:color w:val="1F3864"/>
              </w:rPr>
              <w:t>A prior question that may change the premise</w:t>
            </w:r>
          </w:p>
          <w:p w14:paraId="014F36E9" w14:textId="77777777" w:rsidR="00391E0D" w:rsidRDefault="00072DB8">
            <w:pPr>
              <w:spacing w:after="60" w:line="264" w:lineRule="auto"/>
            </w:pPr>
            <w:r>
              <w:rPr>
                <w:sz w:val="20"/>
                <w:szCs w:val="20"/>
              </w:rPr>
              <w:t>It is not yet established whether observed scooter growth is genuine year-on-year demand growth or a mix-shift between scooters and motorcycles. Running the base-versus-festive comparison separately for each product line will settle this.</w:t>
            </w:r>
          </w:p>
          <w:p w14:paraId="56FA353A" w14:textId="77777777" w:rsidR="00391E0D" w:rsidRDefault="00072DB8">
            <w:pPr>
              <w:spacing w:after="60" w:line="264" w:lineRule="auto"/>
            </w:pPr>
            <w:r>
              <w:rPr>
                <w:sz w:val="20"/>
                <w:szCs w:val="20"/>
              </w:rPr>
              <w:t>If it is a mix-shift, the growth premise underlying the current validation design does not hold, and the level factor would be wrong in direction as well as magnitude. This check is cheap and should be done before any multiplier is agreed.</w:t>
            </w:r>
          </w:p>
        </w:tc>
      </w:tr>
    </w:tbl>
    <w:p w14:paraId="3383A1BD" w14:textId="77777777" w:rsidR="00391E0D" w:rsidRDefault="00072DB8">
      <w:r>
        <w:lastRenderedPageBreak/>
        <w:br w:type="page"/>
      </w:r>
    </w:p>
    <w:p w14:paraId="5BE099C3" w14:textId="77777777" w:rsidR="00391E0D" w:rsidRDefault="00072DB8">
      <w:pPr>
        <w:pStyle w:val="Heading1"/>
        <w:spacing w:before="360" w:after="160"/>
      </w:pPr>
      <w:r>
        <w:rPr>
          <w:b/>
          <w:bCs/>
          <w:color w:val="1F3864"/>
          <w:sz w:val="30"/>
          <w:szCs w:val="30"/>
        </w:rPr>
        <w:lastRenderedPageBreak/>
        <w:t>9. Priorities 8 and 9 — Structural Alternatives</w:t>
      </w:r>
    </w:p>
    <w:p w14:paraId="5277C054" w14:textId="77777777" w:rsidR="00391E0D" w:rsidRDefault="00072DB8">
      <w:pPr>
        <w:spacing w:after="120" w:line="276" w:lineRule="auto"/>
      </w:pPr>
      <w:r>
        <w:rPr>
          <w:color w:val="000000"/>
        </w:rPr>
        <w:t>These are larger changes and should be evaluated only once Priorities 1 to 4 are in place, because without a trustworthy validation signal there is no reliable way to tell whether they helped.</w:t>
      </w:r>
    </w:p>
    <w:p w14:paraId="571A4555" w14:textId="77777777" w:rsidR="00391E0D" w:rsidRDefault="00072DB8">
      <w:pPr>
        <w:pStyle w:val="Heading2"/>
        <w:spacing w:before="260" w:after="120"/>
      </w:pPr>
      <w:r>
        <w:rPr>
          <w:b/>
          <w:bCs/>
          <w:sz w:val="25"/>
          <w:szCs w:val="25"/>
        </w:rPr>
        <w:t>9.1  Priority 8 — Forecast at a coarser level</w:t>
      </w:r>
    </w:p>
    <w:p w14:paraId="25E2C085" w14:textId="77777777" w:rsidR="00391E0D" w:rsidRDefault="00072DB8">
      <w:pPr>
        <w:spacing w:after="120" w:line="276" w:lineRule="auto"/>
      </w:pPr>
      <w:r>
        <w:rPr>
          <w:color w:val="000000"/>
        </w:rPr>
        <w:t>Daily demand for a specific variant at a single dealer is close to noise. Whether the red or the black unit sold on a given Tuesday is largely arbitrary. Asking any model to learn a pattern at that granularity is asking it to learn something that may not exist.</w:t>
      </w:r>
    </w:p>
    <w:p w14:paraId="070084B6" w14:textId="77777777" w:rsidR="00391E0D" w:rsidRDefault="00072DB8">
      <w:pPr>
        <w:spacing w:after="120" w:line="276" w:lineRule="auto"/>
      </w:pPr>
      <w:r>
        <w:rPr>
          <w:color w:val="000000"/>
        </w:rPr>
        <w:t>The alternative is to forecast where the signal-to-noise ratio is favourable — for example zone × model-family × week — and then disaggregate to dealer, variant and day.</w:t>
      </w:r>
    </w:p>
    <w:p w14:paraId="39EFFE27" w14:textId="77777777" w:rsidR="00391E0D" w:rsidRDefault="00072DB8">
      <w:pPr>
        <w:spacing w:after="120" w:line="276" w:lineRule="auto"/>
      </w:pPr>
      <w:r>
        <w:rPr>
          <w:color w:val="000000"/>
        </w:rPr>
        <w:t>The case for it is specific to this problem. Festive lift is a large, coherent, regional effect: Diwali does not hit one dealer, it hits the whole market at once. That signal is loudest exactly where we are not currently forecasting. A dealer-variant model has to rediscover the pattern independently in every series; a zone-level model sees it clearly in a few hundred.</w:t>
      </w:r>
    </w:p>
    <w:p w14:paraId="46F5F54F" w14:textId="77777777" w:rsidR="00391E0D" w:rsidRDefault="00072DB8">
      <w:pPr>
        <w:spacing w:after="120" w:line="276" w:lineRule="auto"/>
      </w:pPr>
      <w:r>
        <w:rPr>
          <w:color w:val="000000"/>
        </w:rPr>
        <w:t>Before committing to this, it is worth confirming the premise: compute how much of the daily variance at dealer-variant level survives aggregation to zone, family and week. If most of it disappears, the fine level really is noise and the case holds. If real structure remains there, it does not.</w:t>
      </w:r>
    </w:p>
    <w:p w14:paraId="64D0BB0D" w14:textId="77777777" w:rsidR="00391E0D" w:rsidRDefault="00072DB8">
      <w:pPr>
        <w:pStyle w:val="Heading2"/>
        <w:spacing w:before="260" w:after="120"/>
      </w:pPr>
      <w:r>
        <w:rPr>
          <w:b/>
          <w:bCs/>
          <w:sz w:val="25"/>
          <w:szCs w:val="25"/>
        </w:rPr>
        <w:t>9.2  Priority 9 — A count likelihood in place of a scaled regression</w:t>
      </w:r>
    </w:p>
    <w:p w14:paraId="36A4DC62" w14:textId="77777777" w:rsidR="00391E0D" w:rsidRDefault="00072DB8">
      <w:pPr>
        <w:spacing w:after="120" w:line="276" w:lineRule="auto"/>
      </w:pPr>
      <w:r>
        <w:rPr>
          <w:color w:val="000000"/>
        </w:rPr>
        <w:t>Sales are non-negative integers, frequently zero, right-skewed. Modelling them as a continuous min-max-scaled variable under a squared-error loss is a distributional mismatch, and it is the root cause behind Priority 2.</w:t>
      </w:r>
    </w:p>
    <w:p w14:paraId="6DA75C56" w14:textId="77777777" w:rsidR="00391E0D" w:rsidRDefault="00072DB8">
      <w:pPr>
        <w:spacing w:after="120" w:line="276" w:lineRule="auto"/>
      </w:pPr>
      <w:r>
        <w:rPr>
          <w:color w:val="000000"/>
        </w:rPr>
        <w:t>Setting a Negative Binomial or Poisson likelihood on the TFT and forecasting the distribution mean addresses the mismatch directly and removes the need for target scaling altogether.</w:t>
      </w:r>
    </w:p>
    <w:p w14:paraId="488E4D0C" w14:textId="77777777" w:rsidR="00391E0D" w:rsidRDefault="00072DB8">
      <w:pPr>
        <w:pStyle w:val="Heading2"/>
        <w:spacing w:before="260" w:after="120"/>
      </w:pPr>
      <w:r>
        <w:rPr>
          <w:b/>
          <w:bCs/>
          <w:sz w:val="25"/>
          <w:szCs w:val="25"/>
        </w:rPr>
        <w:t>9.3  Two alternative architectures worth benchmarking</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300"/>
        <w:gridCol w:w="4200"/>
        <w:gridCol w:w="3860"/>
      </w:tblGrid>
      <w:tr w:rsidR="00391E0D" w14:paraId="24EB6D2A" w14:textId="77777777">
        <w:trPr>
          <w:tblHeader/>
        </w:trPr>
        <w:tc>
          <w:tcPr>
            <w:tcW w:w="1300" w:type="dxa"/>
            <w:shd w:val="clear" w:color="auto" w:fill="1F3864"/>
            <w:tcMar>
              <w:top w:w="90" w:type="dxa"/>
              <w:left w:w="130" w:type="dxa"/>
              <w:bottom w:w="90" w:type="dxa"/>
              <w:right w:w="130" w:type="dxa"/>
            </w:tcMar>
            <w:vAlign w:val="center"/>
          </w:tcPr>
          <w:p w14:paraId="162E9E4D" w14:textId="77777777" w:rsidR="00391E0D" w:rsidRDefault="00072DB8">
            <w:pPr>
              <w:spacing w:line="260" w:lineRule="auto"/>
            </w:pPr>
            <w:r>
              <w:rPr>
                <w:b/>
                <w:bCs/>
                <w:color w:val="FFFFFF"/>
                <w:sz w:val="19"/>
                <w:szCs w:val="19"/>
              </w:rPr>
              <w:t>Model</w:t>
            </w:r>
          </w:p>
        </w:tc>
        <w:tc>
          <w:tcPr>
            <w:tcW w:w="4200" w:type="dxa"/>
            <w:shd w:val="clear" w:color="auto" w:fill="1F3864"/>
            <w:tcMar>
              <w:top w:w="90" w:type="dxa"/>
              <w:left w:w="130" w:type="dxa"/>
              <w:bottom w:w="90" w:type="dxa"/>
              <w:right w:w="130" w:type="dxa"/>
            </w:tcMar>
            <w:vAlign w:val="center"/>
          </w:tcPr>
          <w:p w14:paraId="157BBAC1" w14:textId="77777777" w:rsidR="00391E0D" w:rsidRDefault="00072DB8">
            <w:pPr>
              <w:spacing w:line="260" w:lineRule="auto"/>
            </w:pPr>
            <w:r>
              <w:rPr>
                <w:b/>
                <w:bCs/>
                <w:color w:val="FFFFFF"/>
                <w:sz w:val="19"/>
                <w:szCs w:val="19"/>
              </w:rPr>
              <w:t>Why it is worth the time</w:t>
            </w:r>
          </w:p>
        </w:tc>
        <w:tc>
          <w:tcPr>
            <w:tcW w:w="3860" w:type="dxa"/>
            <w:shd w:val="clear" w:color="auto" w:fill="1F3864"/>
            <w:tcMar>
              <w:top w:w="90" w:type="dxa"/>
              <w:left w:w="130" w:type="dxa"/>
              <w:bottom w:w="90" w:type="dxa"/>
              <w:right w:w="130" w:type="dxa"/>
            </w:tcMar>
            <w:vAlign w:val="center"/>
          </w:tcPr>
          <w:p w14:paraId="46B83C3B" w14:textId="77777777" w:rsidR="00391E0D" w:rsidRDefault="00072DB8">
            <w:pPr>
              <w:spacing w:line="260" w:lineRule="auto"/>
            </w:pPr>
            <w:r>
              <w:rPr>
                <w:b/>
                <w:bCs/>
                <w:color w:val="FFFFFF"/>
                <w:sz w:val="19"/>
                <w:szCs w:val="19"/>
              </w:rPr>
              <w:t>Caveat</w:t>
            </w:r>
          </w:p>
        </w:tc>
      </w:tr>
      <w:tr w:rsidR="00391E0D" w14:paraId="4EAD9E41" w14:textId="77777777">
        <w:tc>
          <w:tcPr>
            <w:tcW w:w="1300" w:type="dxa"/>
            <w:tcMar>
              <w:top w:w="90" w:type="dxa"/>
              <w:left w:w="130" w:type="dxa"/>
              <w:bottom w:w="90" w:type="dxa"/>
              <w:right w:w="130" w:type="dxa"/>
            </w:tcMar>
            <w:vAlign w:val="center"/>
          </w:tcPr>
          <w:p w14:paraId="76C7B3E7" w14:textId="77777777" w:rsidR="00391E0D" w:rsidRDefault="00072DB8">
            <w:pPr>
              <w:spacing w:line="260" w:lineRule="auto"/>
            </w:pPr>
            <w:proofErr w:type="spellStart"/>
            <w:r>
              <w:rPr>
                <w:b/>
                <w:bCs/>
                <w:color w:val="000000"/>
                <w:sz w:val="19"/>
                <w:szCs w:val="19"/>
              </w:rPr>
              <w:t>DeepAR</w:t>
            </w:r>
            <w:proofErr w:type="spellEnd"/>
          </w:p>
        </w:tc>
        <w:tc>
          <w:tcPr>
            <w:tcW w:w="4200" w:type="dxa"/>
            <w:tcMar>
              <w:top w:w="90" w:type="dxa"/>
              <w:left w:w="130" w:type="dxa"/>
              <w:bottom w:w="90" w:type="dxa"/>
              <w:right w:w="130" w:type="dxa"/>
            </w:tcMar>
            <w:vAlign w:val="center"/>
          </w:tcPr>
          <w:p w14:paraId="664DA857" w14:textId="77777777" w:rsidR="00391E0D" w:rsidRDefault="00072DB8">
            <w:pPr>
              <w:spacing w:line="260" w:lineRule="auto"/>
            </w:pPr>
            <w:r>
              <w:rPr>
                <w:color w:val="000000"/>
                <w:sz w:val="19"/>
                <w:szCs w:val="19"/>
              </w:rPr>
              <w:t>Built around exactly this problem shape: an LSTM with a probabilistic output head, designed for intermittent non-negative count data. It gets the output distribution right by construction and needs no target scaling — which is the defect described in Priority 2.</w:t>
            </w:r>
          </w:p>
        </w:tc>
        <w:tc>
          <w:tcPr>
            <w:tcW w:w="3860" w:type="dxa"/>
            <w:tcMar>
              <w:top w:w="90" w:type="dxa"/>
              <w:left w:w="130" w:type="dxa"/>
              <w:bottom w:w="90" w:type="dxa"/>
              <w:right w:w="130" w:type="dxa"/>
            </w:tcMar>
            <w:vAlign w:val="center"/>
          </w:tcPr>
          <w:p w14:paraId="4C400286" w14:textId="77777777" w:rsidR="00391E0D" w:rsidRDefault="00072DB8">
            <w:pPr>
              <w:spacing w:line="260" w:lineRule="auto"/>
            </w:pPr>
            <w:r>
              <w:rPr>
                <w:color w:val="000000"/>
                <w:sz w:val="19"/>
                <w:szCs w:val="19"/>
              </w:rPr>
              <w:t>It has no attention mechanism and no variable selection network, and its handling of future covariates is thinner than TFT's. Our festive signal lives almost entirely in future covariates, so this is the one dimension where it may be a step back. Whether the trade nets positive is an empirical question.</w:t>
            </w:r>
          </w:p>
        </w:tc>
      </w:tr>
      <w:tr w:rsidR="00391E0D" w14:paraId="79F524B9" w14:textId="77777777">
        <w:tc>
          <w:tcPr>
            <w:tcW w:w="1300" w:type="dxa"/>
            <w:shd w:val="clear" w:color="auto" w:fill="F2F5FA"/>
            <w:tcMar>
              <w:top w:w="90" w:type="dxa"/>
              <w:left w:w="130" w:type="dxa"/>
              <w:bottom w:w="90" w:type="dxa"/>
              <w:right w:w="130" w:type="dxa"/>
            </w:tcMar>
            <w:vAlign w:val="center"/>
          </w:tcPr>
          <w:p w14:paraId="759CF9B4" w14:textId="77777777" w:rsidR="00391E0D" w:rsidRDefault="00072DB8">
            <w:pPr>
              <w:spacing w:line="260" w:lineRule="auto"/>
            </w:pPr>
            <w:proofErr w:type="spellStart"/>
            <w:r>
              <w:rPr>
                <w:b/>
                <w:bCs/>
                <w:color w:val="000000"/>
                <w:sz w:val="19"/>
                <w:szCs w:val="19"/>
              </w:rPr>
              <w:t>TiDE</w:t>
            </w:r>
            <w:proofErr w:type="spellEnd"/>
          </w:p>
        </w:tc>
        <w:tc>
          <w:tcPr>
            <w:tcW w:w="4200" w:type="dxa"/>
            <w:shd w:val="clear" w:color="auto" w:fill="F2F5FA"/>
            <w:tcMar>
              <w:top w:w="90" w:type="dxa"/>
              <w:left w:w="130" w:type="dxa"/>
              <w:bottom w:w="90" w:type="dxa"/>
              <w:right w:w="130" w:type="dxa"/>
            </w:tcMar>
            <w:vAlign w:val="center"/>
          </w:tcPr>
          <w:p w14:paraId="22246348" w14:textId="77777777" w:rsidR="00391E0D" w:rsidRDefault="00072DB8">
            <w:pPr>
              <w:spacing w:line="260" w:lineRule="auto"/>
            </w:pPr>
            <w:r>
              <w:rPr>
                <w:color w:val="000000"/>
                <w:sz w:val="19"/>
                <w:szCs w:val="19"/>
              </w:rPr>
              <w:t>Typically matches or exceeds TFT on multivariate-with-covariates benchmarks at a fraction of the training cost. With this many series and a disk I/O bottleneck, being five to ten times cheaper per epoch means experiments can actually be run rather than one long run per week.</w:t>
            </w:r>
          </w:p>
        </w:tc>
        <w:tc>
          <w:tcPr>
            <w:tcW w:w="3860" w:type="dxa"/>
            <w:shd w:val="clear" w:color="auto" w:fill="F2F5FA"/>
            <w:tcMar>
              <w:top w:w="90" w:type="dxa"/>
              <w:left w:w="130" w:type="dxa"/>
              <w:bottom w:w="90" w:type="dxa"/>
              <w:right w:w="130" w:type="dxa"/>
            </w:tcMar>
            <w:vAlign w:val="center"/>
          </w:tcPr>
          <w:p w14:paraId="6901826B" w14:textId="77777777" w:rsidR="00391E0D" w:rsidRDefault="00072DB8">
            <w:pPr>
              <w:spacing w:line="260" w:lineRule="auto"/>
            </w:pPr>
            <w:r>
              <w:rPr>
                <w:color w:val="000000"/>
                <w:sz w:val="19"/>
                <w:szCs w:val="19"/>
              </w:rPr>
              <w:t>Simpler architecture, so less interpretable than TFT — variable importance is not available in the same way.</w:t>
            </w:r>
          </w:p>
        </w:tc>
      </w:tr>
    </w:tbl>
    <w:p w14:paraId="4C8ED5F3" w14:textId="77777777" w:rsidR="00391E0D" w:rsidRDefault="00072DB8">
      <w:r>
        <w:br w:type="page"/>
      </w:r>
    </w:p>
    <w:p w14:paraId="1EB2B827" w14:textId="77777777" w:rsidR="00391E0D" w:rsidRDefault="00072DB8">
      <w:pPr>
        <w:pStyle w:val="Heading1"/>
        <w:spacing w:before="360" w:after="160"/>
      </w:pPr>
      <w:r>
        <w:rPr>
          <w:b/>
          <w:bCs/>
          <w:color w:val="1F3864"/>
          <w:sz w:val="30"/>
          <w:szCs w:val="30"/>
        </w:rPr>
        <w:lastRenderedPageBreak/>
        <w:t>10. Suggested Sequence</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400"/>
        <w:gridCol w:w="4760"/>
        <w:gridCol w:w="3200"/>
      </w:tblGrid>
      <w:tr w:rsidR="00391E0D" w14:paraId="26F1DDEB" w14:textId="77777777">
        <w:trPr>
          <w:tblHeader/>
        </w:trPr>
        <w:tc>
          <w:tcPr>
            <w:tcW w:w="1400" w:type="dxa"/>
            <w:shd w:val="clear" w:color="auto" w:fill="1F3864"/>
            <w:tcMar>
              <w:top w:w="90" w:type="dxa"/>
              <w:left w:w="130" w:type="dxa"/>
              <w:bottom w:w="90" w:type="dxa"/>
              <w:right w:w="130" w:type="dxa"/>
            </w:tcMar>
            <w:vAlign w:val="center"/>
          </w:tcPr>
          <w:p w14:paraId="494F60B9" w14:textId="77777777" w:rsidR="00391E0D" w:rsidRDefault="00072DB8">
            <w:pPr>
              <w:spacing w:line="260" w:lineRule="auto"/>
            </w:pPr>
            <w:r>
              <w:rPr>
                <w:b/>
                <w:bCs/>
                <w:color w:val="FFFFFF"/>
                <w:sz w:val="19"/>
                <w:szCs w:val="19"/>
              </w:rPr>
              <w:t>Stage</w:t>
            </w:r>
          </w:p>
        </w:tc>
        <w:tc>
          <w:tcPr>
            <w:tcW w:w="4760" w:type="dxa"/>
            <w:shd w:val="clear" w:color="auto" w:fill="1F3864"/>
            <w:tcMar>
              <w:top w:w="90" w:type="dxa"/>
              <w:left w:w="130" w:type="dxa"/>
              <w:bottom w:w="90" w:type="dxa"/>
              <w:right w:w="130" w:type="dxa"/>
            </w:tcMar>
            <w:vAlign w:val="center"/>
          </w:tcPr>
          <w:p w14:paraId="053E67A9" w14:textId="77777777" w:rsidR="00391E0D" w:rsidRDefault="00072DB8">
            <w:pPr>
              <w:spacing w:line="260" w:lineRule="auto"/>
            </w:pPr>
            <w:r>
              <w:rPr>
                <w:b/>
                <w:bCs/>
                <w:color w:val="FFFFFF"/>
                <w:sz w:val="19"/>
                <w:szCs w:val="19"/>
              </w:rPr>
              <w:t>Work</w:t>
            </w:r>
          </w:p>
        </w:tc>
        <w:tc>
          <w:tcPr>
            <w:tcW w:w="3200" w:type="dxa"/>
            <w:shd w:val="clear" w:color="auto" w:fill="1F3864"/>
            <w:tcMar>
              <w:top w:w="90" w:type="dxa"/>
              <w:left w:w="130" w:type="dxa"/>
              <w:bottom w:w="90" w:type="dxa"/>
              <w:right w:w="130" w:type="dxa"/>
            </w:tcMar>
            <w:vAlign w:val="center"/>
          </w:tcPr>
          <w:p w14:paraId="461B78B0" w14:textId="77777777" w:rsidR="00391E0D" w:rsidRDefault="00072DB8">
            <w:pPr>
              <w:spacing w:line="260" w:lineRule="auto"/>
            </w:pPr>
            <w:r>
              <w:rPr>
                <w:b/>
                <w:bCs/>
                <w:color w:val="FFFFFF"/>
                <w:sz w:val="19"/>
                <w:szCs w:val="19"/>
              </w:rPr>
              <w:t>Exit condition</w:t>
            </w:r>
          </w:p>
        </w:tc>
      </w:tr>
      <w:tr w:rsidR="00391E0D" w14:paraId="2D4FECF1" w14:textId="77777777">
        <w:tc>
          <w:tcPr>
            <w:tcW w:w="1400" w:type="dxa"/>
            <w:tcMar>
              <w:top w:w="90" w:type="dxa"/>
              <w:left w:w="130" w:type="dxa"/>
              <w:bottom w:w="90" w:type="dxa"/>
              <w:right w:w="130" w:type="dxa"/>
            </w:tcMar>
            <w:vAlign w:val="center"/>
          </w:tcPr>
          <w:p w14:paraId="27DB3C04" w14:textId="77777777" w:rsidR="00391E0D" w:rsidRDefault="00072DB8">
            <w:pPr>
              <w:spacing w:line="260" w:lineRule="auto"/>
            </w:pPr>
            <w:r>
              <w:rPr>
                <w:b/>
                <w:bCs/>
                <w:color w:val="000000"/>
                <w:sz w:val="19"/>
                <w:szCs w:val="19"/>
              </w:rPr>
              <w:t xml:space="preserve">Stage 0 · </w:t>
            </w:r>
            <w:proofErr w:type="spellStart"/>
            <w:r>
              <w:rPr>
                <w:b/>
                <w:bCs/>
                <w:color w:val="000000"/>
                <w:sz w:val="19"/>
                <w:szCs w:val="19"/>
              </w:rPr>
              <w:t>Wk</w:t>
            </w:r>
            <w:proofErr w:type="spellEnd"/>
            <w:r>
              <w:rPr>
                <w:b/>
                <w:bCs/>
                <w:color w:val="000000"/>
                <w:sz w:val="19"/>
                <w:szCs w:val="19"/>
              </w:rPr>
              <w:t xml:space="preserve"> 1</w:t>
            </w:r>
          </w:p>
        </w:tc>
        <w:tc>
          <w:tcPr>
            <w:tcW w:w="4760" w:type="dxa"/>
            <w:tcMar>
              <w:top w:w="90" w:type="dxa"/>
              <w:left w:w="130" w:type="dxa"/>
              <w:bottom w:w="90" w:type="dxa"/>
              <w:right w:w="130" w:type="dxa"/>
            </w:tcMar>
            <w:vAlign w:val="center"/>
          </w:tcPr>
          <w:p w14:paraId="209A2F69" w14:textId="77777777" w:rsidR="00391E0D" w:rsidRDefault="00072DB8">
            <w:pPr>
              <w:spacing w:line="260" w:lineRule="auto"/>
            </w:pPr>
            <w:r>
              <w:rPr>
                <w:color w:val="000000"/>
                <w:sz w:val="19"/>
                <w:szCs w:val="19"/>
              </w:rPr>
              <w:t>Run the base-versus-festive growth check by product line. Rerun the delta experiment with all else frozen. Compute Runner volume share per dealer × model-family group.</w:t>
            </w:r>
          </w:p>
        </w:tc>
        <w:tc>
          <w:tcPr>
            <w:tcW w:w="3200" w:type="dxa"/>
            <w:tcMar>
              <w:top w:w="90" w:type="dxa"/>
              <w:left w:w="130" w:type="dxa"/>
              <w:bottom w:w="90" w:type="dxa"/>
              <w:right w:w="130" w:type="dxa"/>
            </w:tcMar>
            <w:vAlign w:val="center"/>
          </w:tcPr>
          <w:p w14:paraId="56198D56" w14:textId="77777777" w:rsidR="00391E0D" w:rsidRDefault="00072DB8">
            <w:pPr>
              <w:spacing w:line="260" w:lineRule="auto"/>
            </w:pPr>
            <w:r>
              <w:rPr>
                <w:color w:val="000000"/>
                <w:sz w:val="19"/>
                <w:szCs w:val="19"/>
              </w:rPr>
              <w:t>Three open questions closed, and the weighting for Priority 3 specified.</w:t>
            </w:r>
          </w:p>
        </w:tc>
      </w:tr>
      <w:tr w:rsidR="00391E0D" w14:paraId="671AE5B2" w14:textId="77777777">
        <w:tc>
          <w:tcPr>
            <w:tcW w:w="1400" w:type="dxa"/>
            <w:shd w:val="clear" w:color="auto" w:fill="F2F5FA"/>
            <w:tcMar>
              <w:top w:w="90" w:type="dxa"/>
              <w:left w:w="130" w:type="dxa"/>
              <w:bottom w:w="90" w:type="dxa"/>
              <w:right w:w="130" w:type="dxa"/>
            </w:tcMar>
            <w:vAlign w:val="center"/>
          </w:tcPr>
          <w:p w14:paraId="6E41A513" w14:textId="77777777" w:rsidR="00391E0D" w:rsidRDefault="00072DB8">
            <w:pPr>
              <w:spacing w:line="260" w:lineRule="auto"/>
            </w:pPr>
            <w:r>
              <w:rPr>
                <w:b/>
                <w:bCs/>
                <w:color w:val="000000"/>
                <w:sz w:val="19"/>
                <w:szCs w:val="19"/>
              </w:rPr>
              <w:t xml:space="preserve">Stage 1 · </w:t>
            </w:r>
            <w:proofErr w:type="spellStart"/>
            <w:r>
              <w:rPr>
                <w:b/>
                <w:bCs/>
                <w:color w:val="000000"/>
                <w:sz w:val="19"/>
                <w:szCs w:val="19"/>
              </w:rPr>
              <w:t>Wk</w:t>
            </w:r>
            <w:proofErr w:type="spellEnd"/>
            <w:r>
              <w:rPr>
                <w:b/>
                <w:bCs/>
                <w:color w:val="000000"/>
                <w:sz w:val="19"/>
                <w:szCs w:val="19"/>
              </w:rPr>
              <w:t xml:space="preserve"> 1–2</w:t>
            </w:r>
          </w:p>
        </w:tc>
        <w:tc>
          <w:tcPr>
            <w:tcW w:w="4760" w:type="dxa"/>
            <w:shd w:val="clear" w:color="auto" w:fill="F2F5FA"/>
            <w:tcMar>
              <w:top w:w="90" w:type="dxa"/>
              <w:left w:w="130" w:type="dxa"/>
              <w:bottom w:w="90" w:type="dxa"/>
              <w:right w:w="130" w:type="dxa"/>
            </w:tcMar>
            <w:vAlign w:val="center"/>
          </w:tcPr>
          <w:p w14:paraId="6766CDB3" w14:textId="77777777" w:rsidR="00391E0D" w:rsidRDefault="00072DB8">
            <w:pPr>
              <w:spacing w:line="260" w:lineRule="auto"/>
            </w:pPr>
            <w:r>
              <w:rPr>
                <w:color w:val="000000"/>
                <w:sz w:val="19"/>
                <w:szCs w:val="19"/>
              </w:rPr>
              <w:t>Rebuild the validation split (P1). Replace scaling (P2). Retrain and measure the festive-window bias against Sep–Dec 2025 actuals.</w:t>
            </w:r>
          </w:p>
        </w:tc>
        <w:tc>
          <w:tcPr>
            <w:tcW w:w="3200" w:type="dxa"/>
            <w:shd w:val="clear" w:color="auto" w:fill="F2F5FA"/>
            <w:tcMar>
              <w:top w:w="90" w:type="dxa"/>
              <w:left w:w="130" w:type="dxa"/>
              <w:bottom w:w="90" w:type="dxa"/>
              <w:right w:w="130" w:type="dxa"/>
            </w:tcMar>
            <w:vAlign w:val="center"/>
          </w:tcPr>
          <w:p w14:paraId="6DEE3958" w14:textId="77777777" w:rsidR="00391E0D" w:rsidRDefault="00072DB8">
            <w:pPr>
              <w:spacing w:line="260" w:lineRule="auto"/>
            </w:pPr>
            <w:r>
              <w:rPr>
                <w:color w:val="000000"/>
                <w:sz w:val="19"/>
                <w:szCs w:val="19"/>
              </w:rPr>
              <w:t>A validation signal containing festive dynamics, and a first honest read on the size of the gap.</w:t>
            </w:r>
          </w:p>
        </w:tc>
      </w:tr>
      <w:tr w:rsidR="00391E0D" w14:paraId="2FFC9F9C" w14:textId="77777777">
        <w:tc>
          <w:tcPr>
            <w:tcW w:w="1400" w:type="dxa"/>
            <w:tcMar>
              <w:top w:w="90" w:type="dxa"/>
              <w:left w:w="130" w:type="dxa"/>
              <w:bottom w:w="90" w:type="dxa"/>
              <w:right w:w="130" w:type="dxa"/>
            </w:tcMar>
            <w:vAlign w:val="center"/>
          </w:tcPr>
          <w:p w14:paraId="0DEAB9E7" w14:textId="77777777" w:rsidR="00391E0D" w:rsidRDefault="00072DB8">
            <w:pPr>
              <w:spacing w:line="260" w:lineRule="auto"/>
            </w:pPr>
            <w:r>
              <w:rPr>
                <w:b/>
                <w:bCs/>
                <w:color w:val="000000"/>
                <w:sz w:val="19"/>
                <w:szCs w:val="19"/>
              </w:rPr>
              <w:t xml:space="preserve">Stage 2 · </w:t>
            </w:r>
            <w:proofErr w:type="spellStart"/>
            <w:r>
              <w:rPr>
                <w:b/>
                <w:bCs/>
                <w:color w:val="000000"/>
                <w:sz w:val="19"/>
                <w:szCs w:val="19"/>
              </w:rPr>
              <w:t>Wk</w:t>
            </w:r>
            <w:proofErr w:type="spellEnd"/>
            <w:r>
              <w:rPr>
                <w:b/>
                <w:bCs/>
                <w:color w:val="000000"/>
                <w:sz w:val="19"/>
                <w:szCs w:val="19"/>
              </w:rPr>
              <w:t xml:space="preserve"> 2–3</w:t>
            </w:r>
          </w:p>
        </w:tc>
        <w:tc>
          <w:tcPr>
            <w:tcW w:w="4760" w:type="dxa"/>
            <w:tcMar>
              <w:top w:w="90" w:type="dxa"/>
              <w:left w:w="130" w:type="dxa"/>
              <w:bottom w:w="90" w:type="dxa"/>
              <w:right w:w="130" w:type="dxa"/>
            </w:tcMar>
            <w:vAlign w:val="center"/>
          </w:tcPr>
          <w:p w14:paraId="00EA9D67" w14:textId="77777777" w:rsidR="00391E0D" w:rsidRDefault="00072DB8">
            <w:pPr>
              <w:spacing w:line="260" w:lineRule="auto"/>
            </w:pPr>
            <w:r>
              <w:rPr>
                <w:color w:val="000000"/>
                <w:sz w:val="19"/>
                <w:szCs w:val="19"/>
              </w:rPr>
              <w:t>Weight training towards Runner volume (P3). Correct the loss (P4). Repair covariates (P5). Add categorical embeddings (P6).</w:t>
            </w:r>
          </w:p>
        </w:tc>
        <w:tc>
          <w:tcPr>
            <w:tcW w:w="3200" w:type="dxa"/>
            <w:tcMar>
              <w:top w:w="90" w:type="dxa"/>
              <w:left w:w="130" w:type="dxa"/>
              <w:bottom w:w="90" w:type="dxa"/>
              <w:right w:w="130" w:type="dxa"/>
            </w:tcMar>
            <w:vAlign w:val="center"/>
          </w:tcPr>
          <w:p w14:paraId="43A51AA9" w14:textId="77777777" w:rsidR="00391E0D" w:rsidRDefault="00072DB8">
            <w:pPr>
              <w:spacing w:line="260" w:lineRule="auto"/>
            </w:pPr>
            <w:r>
              <w:rPr>
                <w:color w:val="000000"/>
                <w:sz w:val="19"/>
                <w:szCs w:val="19"/>
              </w:rPr>
              <w:t>Each change measured against the Stage 1 baseline, one at a time.</w:t>
            </w:r>
          </w:p>
        </w:tc>
      </w:tr>
      <w:tr w:rsidR="00391E0D" w14:paraId="30E3968D" w14:textId="77777777">
        <w:tc>
          <w:tcPr>
            <w:tcW w:w="1400" w:type="dxa"/>
            <w:shd w:val="clear" w:color="auto" w:fill="F2F5FA"/>
            <w:tcMar>
              <w:top w:w="90" w:type="dxa"/>
              <w:left w:w="130" w:type="dxa"/>
              <w:bottom w:w="90" w:type="dxa"/>
              <w:right w:w="130" w:type="dxa"/>
            </w:tcMar>
            <w:vAlign w:val="center"/>
          </w:tcPr>
          <w:p w14:paraId="0983FD4A" w14:textId="77777777" w:rsidR="00391E0D" w:rsidRDefault="00072DB8">
            <w:pPr>
              <w:spacing w:line="260" w:lineRule="auto"/>
            </w:pPr>
            <w:r>
              <w:rPr>
                <w:b/>
                <w:bCs/>
                <w:color w:val="000000"/>
                <w:sz w:val="19"/>
                <w:szCs w:val="19"/>
              </w:rPr>
              <w:t xml:space="preserve">Stage 3 · </w:t>
            </w:r>
            <w:proofErr w:type="spellStart"/>
            <w:r>
              <w:rPr>
                <w:b/>
                <w:bCs/>
                <w:color w:val="000000"/>
                <w:sz w:val="19"/>
                <w:szCs w:val="19"/>
              </w:rPr>
              <w:t>Wk</w:t>
            </w:r>
            <w:proofErr w:type="spellEnd"/>
            <w:r>
              <w:rPr>
                <w:b/>
                <w:bCs/>
                <w:color w:val="000000"/>
                <w:sz w:val="19"/>
                <w:szCs w:val="19"/>
              </w:rPr>
              <w:t xml:space="preserve"> 3</w:t>
            </w:r>
          </w:p>
        </w:tc>
        <w:tc>
          <w:tcPr>
            <w:tcW w:w="4760" w:type="dxa"/>
            <w:shd w:val="clear" w:color="auto" w:fill="F2F5FA"/>
            <w:tcMar>
              <w:top w:w="90" w:type="dxa"/>
              <w:left w:w="130" w:type="dxa"/>
              <w:bottom w:w="90" w:type="dxa"/>
              <w:right w:w="130" w:type="dxa"/>
            </w:tcMar>
            <w:vAlign w:val="center"/>
          </w:tcPr>
          <w:p w14:paraId="2798BCA7" w14:textId="77777777" w:rsidR="00391E0D" w:rsidRDefault="00072DB8">
            <w:pPr>
              <w:spacing w:line="260" w:lineRule="auto"/>
            </w:pPr>
            <w:r>
              <w:rPr>
                <w:color w:val="000000"/>
                <w:sz w:val="19"/>
                <w:szCs w:val="19"/>
              </w:rPr>
              <w:t>Apply the explicit growth factor (P7) with the commercial team, set by product line.</w:t>
            </w:r>
          </w:p>
        </w:tc>
        <w:tc>
          <w:tcPr>
            <w:tcW w:w="3200" w:type="dxa"/>
            <w:shd w:val="clear" w:color="auto" w:fill="F2F5FA"/>
            <w:tcMar>
              <w:top w:w="90" w:type="dxa"/>
              <w:left w:w="130" w:type="dxa"/>
              <w:bottom w:w="90" w:type="dxa"/>
              <w:right w:w="130" w:type="dxa"/>
            </w:tcMar>
            <w:vAlign w:val="center"/>
          </w:tcPr>
          <w:p w14:paraId="298A120F" w14:textId="77777777" w:rsidR="00391E0D" w:rsidRDefault="00072DB8">
            <w:pPr>
              <w:spacing w:line="260" w:lineRule="auto"/>
            </w:pPr>
            <w:r>
              <w:rPr>
                <w:color w:val="000000"/>
                <w:sz w:val="19"/>
                <w:szCs w:val="19"/>
              </w:rPr>
              <w:t>A forecast with a stated, auditable growth assumption.</w:t>
            </w:r>
          </w:p>
        </w:tc>
      </w:tr>
      <w:tr w:rsidR="00391E0D" w14:paraId="38505F62" w14:textId="77777777">
        <w:tc>
          <w:tcPr>
            <w:tcW w:w="1400" w:type="dxa"/>
            <w:tcMar>
              <w:top w:w="90" w:type="dxa"/>
              <w:left w:w="130" w:type="dxa"/>
              <w:bottom w:w="90" w:type="dxa"/>
              <w:right w:w="130" w:type="dxa"/>
            </w:tcMar>
            <w:vAlign w:val="center"/>
          </w:tcPr>
          <w:p w14:paraId="2613758B" w14:textId="77777777" w:rsidR="00391E0D" w:rsidRDefault="00072DB8">
            <w:pPr>
              <w:spacing w:line="260" w:lineRule="auto"/>
            </w:pPr>
            <w:r>
              <w:rPr>
                <w:b/>
                <w:bCs/>
                <w:color w:val="000000"/>
                <w:sz w:val="19"/>
                <w:szCs w:val="19"/>
              </w:rPr>
              <w:t xml:space="preserve">Stage 4 · </w:t>
            </w:r>
            <w:proofErr w:type="spellStart"/>
            <w:r>
              <w:rPr>
                <w:b/>
                <w:bCs/>
                <w:color w:val="000000"/>
                <w:sz w:val="19"/>
                <w:szCs w:val="19"/>
              </w:rPr>
              <w:t>Wk</w:t>
            </w:r>
            <w:proofErr w:type="spellEnd"/>
            <w:r>
              <w:rPr>
                <w:b/>
                <w:bCs/>
                <w:color w:val="000000"/>
                <w:sz w:val="19"/>
                <w:szCs w:val="19"/>
              </w:rPr>
              <w:t xml:space="preserve"> 4+</w:t>
            </w:r>
          </w:p>
        </w:tc>
        <w:tc>
          <w:tcPr>
            <w:tcW w:w="4760" w:type="dxa"/>
            <w:tcMar>
              <w:top w:w="90" w:type="dxa"/>
              <w:left w:w="130" w:type="dxa"/>
              <w:bottom w:w="90" w:type="dxa"/>
              <w:right w:w="130" w:type="dxa"/>
            </w:tcMar>
            <w:vAlign w:val="center"/>
          </w:tcPr>
          <w:p w14:paraId="53911290" w14:textId="77777777" w:rsidR="00391E0D" w:rsidRDefault="00072DB8">
            <w:pPr>
              <w:spacing w:line="260" w:lineRule="auto"/>
            </w:pPr>
            <w:r>
              <w:rPr>
                <w:color w:val="000000"/>
                <w:sz w:val="19"/>
                <w:szCs w:val="19"/>
              </w:rPr>
              <w:t xml:space="preserve">Benchmark </w:t>
            </w:r>
            <w:proofErr w:type="spellStart"/>
            <w:r>
              <w:rPr>
                <w:color w:val="000000"/>
                <w:sz w:val="19"/>
                <w:szCs w:val="19"/>
              </w:rPr>
              <w:t>DeepAR</w:t>
            </w:r>
            <w:proofErr w:type="spellEnd"/>
            <w:r>
              <w:rPr>
                <w:color w:val="000000"/>
                <w:sz w:val="19"/>
                <w:szCs w:val="19"/>
              </w:rPr>
              <w:t xml:space="preserve"> and </w:t>
            </w:r>
            <w:proofErr w:type="spellStart"/>
            <w:r>
              <w:rPr>
                <w:color w:val="000000"/>
                <w:sz w:val="19"/>
                <w:szCs w:val="19"/>
              </w:rPr>
              <w:t>TiDE</w:t>
            </w:r>
            <w:proofErr w:type="spellEnd"/>
            <w:r>
              <w:rPr>
                <w:color w:val="000000"/>
                <w:sz w:val="19"/>
                <w:szCs w:val="19"/>
              </w:rPr>
              <w:t>. Prototype the coarser forecast level (P8) and the count likelihood (P9).</w:t>
            </w:r>
          </w:p>
        </w:tc>
        <w:tc>
          <w:tcPr>
            <w:tcW w:w="3200" w:type="dxa"/>
            <w:tcMar>
              <w:top w:w="90" w:type="dxa"/>
              <w:left w:w="130" w:type="dxa"/>
              <w:bottom w:w="90" w:type="dxa"/>
              <w:right w:w="130" w:type="dxa"/>
            </w:tcMar>
            <w:vAlign w:val="center"/>
          </w:tcPr>
          <w:p w14:paraId="7F81F992" w14:textId="77777777" w:rsidR="00391E0D" w:rsidRDefault="00072DB8">
            <w:pPr>
              <w:spacing w:line="260" w:lineRule="auto"/>
            </w:pPr>
            <w:r>
              <w:rPr>
                <w:color w:val="000000"/>
                <w:sz w:val="19"/>
                <w:szCs w:val="19"/>
              </w:rPr>
              <w:t>An evidence-based decision on whether the current architecture is the right long-term choice.</w:t>
            </w:r>
          </w:p>
        </w:tc>
      </w:tr>
    </w:tbl>
    <w:p w14:paraId="7E680A7D" w14:textId="77777777" w:rsidR="00391E0D" w:rsidRDefault="00072DB8">
      <w:pPr>
        <w:spacing w:after="120" w:line="276" w:lineRule="auto"/>
      </w:pPr>
      <w:r>
        <w:rPr>
          <w:color w:val="000000"/>
        </w:rPr>
        <w:t>A note on sequencing discipline: Stage 2 changes should be applied and measured individually. Applying several at once makes attribution impossible, which is how the delta = 100 finding became ambiguous in the first place.</w:t>
      </w:r>
    </w:p>
    <w:p w14:paraId="78676015" w14:textId="77777777" w:rsidR="00391E0D" w:rsidRDefault="00072DB8">
      <w:pPr>
        <w:pStyle w:val="Heading1"/>
        <w:spacing w:before="360" w:after="160"/>
      </w:pPr>
      <w:r>
        <w:rPr>
          <w:b/>
          <w:bCs/>
          <w:color w:val="1F3864"/>
          <w:sz w:val="30"/>
          <w:szCs w:val="30"/>
        </w:rPr>
        <w:t>11. What This Plan Does Not Solve</w:t>
      </w:r>
    </w:p>
    <w:p w14:paraId="30DDFD71" w14:textId="77777777" w:rsidR="00391E0D" w:rsidRDefault="00072DB8">
      <w:pPr>
        <w:spacing w:after="120" w:line="276" w:lineRule="auto"/>
      </w:pPr>
      <w:r>
        <w:rPr>
          <w:color w:val="000000"/>
        </w:rPr>
        <w:t>Presented deliberately, so that it is not discovered later.</w:t>
      </w:r>
    </w:p>
    <w:p w14:paraId="4F509C9C" w14:textId="77777777" w:rsidR="00391E0D" w:rsidRDefault="00072DB8">
      <w:pPr>
        <w:pStyle w:val="ListParagraph"/>
        <w:numPr>
          <w:ilvl w:val="0"/>
          <w:numId w:val="2"/>
        </w:numPr>
        <w:spacing w:after="70" w:line="276" w:lineRule="auto"/>
      </w:pPr>
      <w:r>
        <w:rPr>
          <w:b/>
          <w:bCs/>
          <w:color w:val="000000"/>
        </w:rPr>
        <w:t xml:space="preserve">The 2026 regime cannot be validated. </w:t>
      </w:r>
      <w:r>
        <w:rPr>
          <w:color w:val="000000"/>
        </w:rPr>
        <w:t>Every change here is validated against past festive seasons. If 2026 behaves structurally differently — as FY'26 contraction differed from prior growth years — no validation design would have anticipated it. This is the residual risk, and the explicit growth factor of Priority 7 is the control for it, not a solution to it.</w:t>
      </w:r>
    </w:p>
    <w:p w14:paraId="6294EE3A" w14:textId="77777777" w:rsidR="00391E0D" w:rsidRDefault="00072DB8">
      <w:pPr>
        <w:pStyle w:val="ListParagraph"/>
        <w:numPr>
          <w:ilvl w:val="0"/>
          <w:numId w:val="2"/>
        </w:numPr>
        <w:spacing w:after="70" w:line="276" w:lineRule="auto"/>
      </w:pPr>
      <w:r>
        <w:rPr>
          <w:b/>
          <w:bCs/>
          <w:color w:val="000000"/>
        </w:rPr>
        <w:t xml:space="preserve">Validation across series is not validation across time. </w:t>
      </w:r>
      <w:r>
        <w:rPr>
          <w:color w:val="000000"/>
        </w:rPr>
        <w:t>The proposed split measures whether the model generalises to unseen dealer-family combinations. The genuine risk is generalisation forward in time under changing demand. These are related but distinct, and only the first is testable with the data held.</w:t>
      </w:r>
    </w:p>
    <w:p w14:paraId="068413F2" w14:textId="77777777" w:rsidR="00391E0D" w:rsidRDefault="00072DB8">
      <w:pPr>
        <w:pStyle w:val="ListParagraph"/>
        <w:numPr>
          <w:ilvl w:val="0"/>
          <w:numId w:val="2"/>
        </w:numPr>
        <w:spacing w:after="70" w:line="276" w:lineRule="auto"/>
      </w:pPr>
      <w:r>
        <w:rPr>
          <w:b/>
          <w:bCs/>
          <w:color w:val="000000"/>
        </w:rPr>
        <w:t xml:space="preserve">Error introduced after the model runs is out of scope. </w:t>
      </w:r>
      <w:r>
        <w:rPr>
          <w:color w:val="000000"/>
        </w:rPr>
        <w:t>Forecasts are produced at PARENT_DEALER × MODEL_FAMILY and disaggregated to dealer and SKU before accuracy is reported. Any error created by that disaggregation step is not addressed by anything in this document, and is not fixable by model work.</w:t>
      </w:r>
    </w:p>
    <w:p w14:paraId="13FDDB78" w14:textId="77777777" w:rsidR="00391E0D" w:rsidRDefault="00072DB8">
      <w:pPr>
        <w:pBdr>
          <w:top w:val="single" w:sz="6" w:space="10" w:color="2E74B5"/>
        </w:pBdr>
        <w:spacing w:before="400"/>
      </w:pPr>
      <w:r>
        <w:rPr>
          <w:i/>
          <w:iCs/>
          <w:color w:val="595959"/>
          <w:sz w:val="19"/>
          <w:szCs w:val="19"/>
        </w:rPr>
        <w:t>Prepared for internal review — Demand Forecasting</w:t>
      </w:r>
    </w:p>
    <w:sectPr w:rsidR="00391E0D">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E3668D" w14:textId="77777777" w:rsidR="00483CB9" w:rsidRDefault="00483CB9">
      <w:r>
        <w:separator/>
      </w:r>
    </w:p>
  </w:endnote>
  <w:endnote w:type="continuationSeparator" w:id="0">
    <w:p w14:paraId="5FC8276B" w14:textId="77777777" w:rsidR="00483CB9" w:rsidRDefault="00483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AB5FC" w14:textId="4C5488AE" w:rsidR="00391E0D" w:rsidRDefault="00072DB8">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9826BA">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B316EA" w14:textId="77777777" w:rsidR="00483CB9" w:rsidRDefault="00483CB9">
      <w:r>
        <w:separator/>
      </w:r>
    </w:p>
  </w:footnote>
  <w:footnote w:type="continuationSeparator" w:id="0">
    <w:p w14:paraId="076D9006" w14:textId="77777777" w:rsidR="00483CB9" w:rsidRDefault="00483C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35159"/>
    <w:multiLevelType w:val="hybridMultilevel"/>
    <w:tmpl w:val="FC6EB8AE"/>
    <w:lvl w:ilvl="0" w:tplc="6B9E27C0">
      <w:start w:val="1"/>
      <w:numFmt w:val="bullet"/>
      <w:lvlText w:val="•"/>
      <w:lvlJc w:val="left"/>
      <w:pPr>
        <w:ind w:left="431" w:hanging="288"/>
      </w:pPr>
    </w:lvl>
    <w:lvl w:ilvl="1" w:tplc="450E92BE">
      <w:start w:val="1"/>
      <w:numFmt w:val="bullet"/>
      <w:lvlText w:val="◦"/>
      <w:lvlJc w:val="left"/>
      <w:pPr>
        <w:ind w:left="863" w:hanging="288"/>
      </w:pPr>
    </w:lvl>
    <w:lvl w:ilvl="2" w:tplc="2E525752">
      <w:numFmt w:val="decimal"/>
      <w:lvlText w:val=""/>
      <w:lvlJc w:val="left"/>
    </w:lvl>
    <w:lvl w:ilvl="3" w:tplc="50FA08A8">
      <w:numFmt w:val="decimal"/>
      <w:lvlText w:val=""/>
      <w:lvlJc w:val="left"/>
    </w:lvl>
    <w:lvl w:ilvl="4" w:tplc="525025A6">
      <w:numFmt w:val="decimal"/>
      <w:lvlText w:val=""/>
      <w:lvlJc w:val="left"/>
    </w:lvl>
    <w:lvl w:ilvl="5" w:tplc="AEB611CC">
      <w:numFmt w:val="decimal"/>
      <w:lvlText w:val=""/>
      <w:lvlJc w:val="left"/>
    </w:lvl>
    <w:lvl w:ilvl="6" w:tplc="2D3CD200">
      <w:numFmt w:val="decimal"/>
      <w:lvlText w:val=""/>
      <w:lvlJc w:val="left"/>
    </w:lvl>
    <w:lvl w:ilvl="7" w:tplc="EF042DBA">
      <w:numFmt w:val="decimal"/>
      <w:lvlText w:val=""/>
      <w:lvlJc w:val="left"/>
    </w:lvl>
    <w:lvl w:ilvl="8" w:tplc="AA3EA3D6">
      <w:numFmt w:val="decimal"/>
      <w:lvlText w:val=""/>
      <w:lvlJc w:val="left"/>
    </w:lvl>
  </w:abstractNum>
  <w:abstractNum w:abstractNumId="1" w15:restartNumberingAfterBreak="0">
    <w:nsid w:val="73E433D7"/>
    <w:multiLevelType w:val="hybridMultilevel"/>
    <w:tmpl w:val="1D721196"/>
    <w:lvl w:ilvl="0" w:tplc="2BD8767A">
      <w:start w:val="1"/>
      <w:numFmt w:val="bullet"/>
      <w:lvlText w:val="●"/>
      <w:lvlJc w:val="left"/>
      <w:pPr>
        <w:ind w:left="720" w:hanging="360"/>
      </w:pPr>
    </w:lvl>
    <w:lvl w:ilvl="1" w:tplc="98EC01C4">
      <w:start w:val="1"/>
      <w:numFmt w:val="bullet"/>
      <w:lvlText w:val="○"/>
      <w:lvlJc w:val="left"/>
      <w:pPr>
        <w:ind w:left="1440" w:hanging="360"/>
      </w:pPr>
    </w:lvl>
    <w:lvl w:ilvl="2" w:tplc="08B425F0">
      <w:start w:val="1"/>
      <w:numFmt w:val="bullet"/>
      <w:lvlText w:val="■"/>
      <w:lvlJc w:val="left"/>
      <w:pPr>
        <w:ind w:left="2160" w:hanging="360"/>
      </w:pPr>
    </w:lvl>
    <w:lvl w:ilvl="3" w:tplc="CD061142">
      <w:start w:val="1"/>
      <w:numFmt w:val="bullet"/>
      <w:lvlText w:val="●"/>
      <w:lvlJc w:val="left"/>
      <w:pPr>
        <w:ind w:left="2880" w:hanging="360"/>
      </w:pPr>
    </w:lvl>
    <w:lvl w:ilvl="4" w:tplc="717CFE28">
      <w:start w:val="1"/>
      <w:numFmt w:val="bullet"/>
      <w:lvlText w:val="○"/>
      <w:lvlJc w:val="left"/>
      <w:pPr>
        <w:ind w:left="3600" w:hanging="360"/>
      </w:pPr>
    </w:lvl>
    <w:lvl w:ilvl="5" w:tplc="E8582EC4">
      <w:start w:val="1"/>
      <w:numFmt w:val="bullet"/>
      <w:lvlText w:val="■"/>
      <w:lvlJc w:val="left"/>
      <w:pPr>
        <w:ind w:left="4320" w:hanging="360"/>
      </w:pPr>
    </w:lvl>
    <w:lvl w:ilvl="6" w:tplc="80525440">
      <w:start w:val="1"/>
      <w:numFmt w:val="bullet"/>
      <w:lvlText w:val="●"/>
      <w:lvlJc w:val="left"/>
      <w:pPr>
        <w:ind w:left="5040" w:hanging="360"/>
      </w:pPr>
    </w:lvl>
    <w:lvl w:ilvl="7" w:tplc="80363810">
      <w:start w:val="1"/>
      <w:numFmt w:val="bullet"/>
      <w:lvlText w:val="●"/>
      <w:lvlJc w:val="left"/>
      <w:pPr>
        <w:ind w:left="5760" w:hanging="360"/>
      </w:pPr>
    </w:lvl>
    <w:lvl w:ilvl="8" w:tplc="3CD88E8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1E0D"/>
    <w:rsid w:val="00072DB8"/>
    <w:rsid w:val="000C245A"/>
    <w:rsid w:val="001A0F6E"/>
    <w:rsid w:val="003702EF"/>
    <w:rsid w:val="00391E0D"/>
    <w:rsid w:val="00483CB9"/>
    <w:rsid w:val="0061253D"/>
    <w:rsid w:val="00741B8A"/>
    <w:rsid w:val="009826BA"/>
    <w:rsid w:val="00FA50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F3234"/>
  <w15:docId w15:val="{C0BC600B-C6C8-4DD2-B168-CC10E4787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17</Pages>
  <Words>4653</Words>
  <Characters>26528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Daily Demand Forecast — TFT Model Changes</vt:lpstr>
    </vt:vector>
  </TitlesOfParts>
  <Company/>
  <LinksUpToDate>false</LinksUpToDate>
  <CharactersWithSpaces>31119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 Demand Forecast — TFT Model Changes</dc:title>
  <dc:creator>Demand Forecasting</dc:creator>
  <cp:lastModifiedBy>YASH SAXENA</cp:lastModifiedBy>
  <cp:revision>4</cp:revision>
  <dcterms:created xsi:type="dcterms:W3CDTF">2026-09-08T08:08:00Z</dcterms:created>
  <dcterms:modified xsi:type="dcterms:W3CDTF">2026-09-08T09:26:00Z</dcterms:modified>
</cp:coreProperties>
</file>