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CDE2" w14:textId="519EEBAA" w:rsid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  <w:r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 xml:space="preserve">STRUCTURE OF THE CHANGE MANAGEMENT PLAN </w:t>
      </w:r>
    </w:p>
    <w:p w14:paraId="6967A991" w14:textId="77777777" w:rsid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</w:p>
    <w:p w14:paraId="7DAB0243" w14:textId="77777777" w:rsid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</w:p>
    <w:p w14:paraId="6B12FF08" w14:textId="45BD6AAA" w:rsidR="005735B9" w:rsidRP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>1. Introduction:</w:t>
      </w:r>
    </w:p>
    <w:p w14:paraId="6FD89AAB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52CECD6B" w14:textId="35AE03E8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Overview of Change: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Provide a brief description of the change, its purpose, and the anticipated benefits.</w:t>
      </w:r>
    </w:p>
    <w:p w14:paraId="52BBA1E2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62AB50EB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Plan Objectives: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Clearly state the objectives of the change management plan. This could include reducing resistance, ensuring effective communication, and achieving successful implementation.</w:t>
      </w:r>
    </w:p>
    <w:p w14:paraId="06FD16A5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614C3969" w14:textId="22AD0A84" w:rsidR="005735B9" w:rsidRP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>2. Change Description</w:t>
      </w:r>
      <w:r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 xml:space="preserve"> and 5 Ps analysis</w:t>
      </w:r>
      <w:r w:rsidRPr="005735B9"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>:</w:t>
      </w:r>
    </w:p>
    <w:p w14:paraId="652F1D94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44435C84" w14:textId="513B260A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Define the Change: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Clearly articulate what the change entails, including its scope and boundaries. Specify whether it's a process change, organizational restructuring, technology adoption, etc.</w:t>
      </w:r>
    </w:p>
    <w:p w14:paraId="0BF74650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674118F4" w14:textId="5B8EAFB3" w:rsidR="005735B9" w:rsidRP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>3. Change Sponsorship:</w:t>
      </w:r>
    </w:p>
    <w:p w14:paraId="47674326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Executive Sponsor(s):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Identify the senior leaders or executives sponsoring the change. Clearly outline their support and commitment to the change.</w:t>
      </w:r>
    </w:p>
    <w:p w14:paraId="5F87E1F8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>Roles and Responsibilities: Define the roles and responsibilities of the executive sponsor(s) in supporting and promoting the change.</w:t>
      </w:r>
    </w:p>
    <w:p w14:paraId="4D662AC6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7AF4C6C6" w14:textId="28512E33" w:rsidR="005735B9" w:rsidRP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>4. Stakeholder Analysis:</w:t>
      </w:r>
    </w:p>
    <w:p w14:paraId="1B7A9869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Stakeholder Identification: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List and categorize all stakeholders, including internal and external parties.</w:t>
      </w:r>
    </w:p>
    <w:p w14:paraId="4935BEFF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Influence and Interest: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Assess the level of influence and interest each stakeholder has in the change. Use a matrix to categorize them as high, medium, or low.</w:t>
      </w:r>
    </w:p>
    <w:p w14:paraId="2DED2816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>Engagement Strategies: Develop specific strategies to engage and communicate with each stakeholder group based on their level of influence and interest.</w:t>
      </w:r>
    </w:p>
    <w:p w14:paraId="54AA1EAC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7E279999" w14:textId="6383DC5F" w:rsidR="005735B9" w:rsidRP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>5. Change Team:</w:t>
      </w:r>
    </w:p>
    <w:p w14:paraId="503C78F8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Team Members: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Identify individuals who will be part of the change management team.</w:t>
      </w:r>
    </w:p>
    <w:p w14:paraId="3AF99BA2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>Roles and Responsibilities: Clearly define the roles and responsibilities of each team member in the change process.</w:t>
      </w:r>
    </w:p>
    <w:p w14:paraId="3D335F8A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14D47204" w14:textId="63793D59" w:rsidR="005735B9" w:rsidRP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>6. Change Readiness Assessment:</w:t>
      </w:r>
    </w:p>
    <w:p w14:paraId="3526C6F7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Assessment Criteria: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Identify criteria to assess the organization's readiness for change, such as employee morale, existing processes, and cultural alignment.</w:t>
      </w:r>
    </w:p>
    <w:p w14:paraId="2BABBE75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>Barriers and Resistance: Identify potential barriers and sources of resistance. Develop strategies to address and mitigate these challenges.</w:t>
      </w:r>
    </w:p>
    <w:p w14:paraId="4F0851FC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76B66857" w14:textId="4D72FAB2" w:rsidR="005735B9" w:rsidRP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>7. Communication Plan:</w:t>
      </w:r>
    </w:p>
    <w:p w14:paraId="200A4AAC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4ECDC9A4" w14:textId="0D3E09CA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lastRenderedPageBreak/>
        <w:t>Objectives: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Clearly state the objectives of the communication plan, such as creating awareness, managing expectations, and addressing concerns.</w:t>
      </w:r>
    </w:p>
    <w:p w14:paraId="47BD71F8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>Key Messages: Identify the key messages that need to be communicated and ensure consistency across all communication channels.</w:t>
      </w:r>
    </w:p>
    <w:p w14:paraId="49CA0552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Channels and Timeline: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Specify the communication channels (e.g., emails, meetings, newsletters) and create a timeline for when each message will be delivered.</w:t>
      </w:r>
    </w:p>
    <w:p w14:paraId="29B745EA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663AE68A" w14:textId="45DF7C7B" w:rsidR="005735B9" w:rsidRP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>8. Training and Development:</w:t>
      </w:r>
    </w:p>
    <w:p w14:paraId="7CAB2E78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Training Needs Assessment: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Identify the skills and knowledge employees need to adapt to the change.</w:t>
      </w:r>
    </w:p>
    <w:p w14:paraId="4E22B8D7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Training Plan: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Develop a detailed plan for training activities, including the content, methods of delivery, and schedule.</w:t>
      </w:r>
    </w:p>
    <w:p w14:paraId="2519E4B4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>Responsible Parties: Clearly specify who is responsible for coordinating and delivering training.</w:t>
      </w:r>
    </w:p>
    <w:p w14:paraId="66837968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6D6783A3" w14:textId="27AE5870" w:rsidR="005735B9" w:rsidRP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>9. Change Implementation Plan:</w:t>
      </w:r>
    </w:p>
    <w:p w14:paraId="3731F189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Step-by-Step Process: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Outline a detailed plan for implementing the change, including specific steps, tasks, and responsibilities.</w:t>
      </w:r>
    </w:p>
    <w:p w14:paraId="0464B833" w14:textId="77777777" w:rsidR="005735B9" w:rsidRDefault="005735B9" w:rsidP="005735B9">
      <w:pPr>
        <w:ind w:left="360"/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</w:pPr>
    </w:p>
    <w:p w14:paraId="120BEF36" w14:textId="5CD577E0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Timelines and Milestones: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Define realistic timelines and milestones for each phase of the implementation.</w:t>
      </w:r>
    </w:p>
    <w:p w14:paraId="6EE4A74E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Key Performance Indicators (KPIs):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Identify KPIs to measure the success of the implementation.</w:t>
      </w:r>
    </w:p>
    <w:p w14:paraId="18733C3D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54F3607C" w14:textId="5BB70CCF" w:rsidR="005735B9" w:rsidRP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>10. Monitoring and Evaluation:</w:t>
      </w:r>
    </w:p>
    <w:p w14:paraId="17C94659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Monitoring Mechanisms: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Establish mechanisms for monitoring progress, such as regular check-ins, surveys, or feedback sessions.</w:t>
      </w:r>
    </w:p>
    <w:p w14:paraId="3DC0E7FA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1F9C7AE2" w14:textId="17DABE3D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Evaluation Criteria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>: Define specific criteria and metrics to evaluate the success of the change. This could include employee satisfaction, productivity metrics, and cost-effectiveness.</w:t>
      </w:r>
    </w:p>
    <w:p w14:paraId="3375FDC4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5122EC91" w14:textId="2C90360B" w:rsidR="005735B9" w:rsidRP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>11. Contingency Planning:</w:t>
      </w:r>
    </w:p>
    <w:p w14:paraId="0489EEB3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43DA66EB" w14:textId="509523C4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Risk Identification: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Identify potential risks and challenges that could impede the success of the change.</w:t>
      </w:r>
    </w:p>
    <w:p w14:paraId="4A9BB27A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2CAB22F5" w14:textId="3A96E9FF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Contingency Plans: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Develop specific plans to address each identified risk. Include alternative strategies and actions to be taken if issues arise.</w:t>
      </w:r>
    </w:p>
    <w:p w14:paraId="3C68E5D3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Responsible Parties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>: Assign responsibilities for managing and implementing contingency plans.</w:t>
      </w:r>
    </w:p>
    <w:p w14:paraId="6C169009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1F459ACF" w14:textId="521AE02A" w:rsidR="005735B9" w:rsidRP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>12. Documentation:</w:t>
      </w:r>
    </w:p>
    <w:p w14:paraId="0295E68B" w14:textId="77777777" w:rsidR="005735B9" w:rsidRDefault="005735B9" w:rsidP="005735B9">
      <w:pPr>
        <w:ind w:left="360"/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</w:pPr>
    </w:p>
    <w:p w14:paraId="4C50B1CB" w14:textId="38A08EE0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lastRenderedPageBreak/>
        <w:t>Document Types: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Specify the types of documents to be created and maintained throughout the change process, such as project plans, communication logs, and training materials.</w:t>
      </w:r>
    </w:p>
    <w:p w14:paraId="3D9EDAFC" w14:textId="77777777" w:rsidR="005735B9" w:rsidRDefault="005735B9" w:rsidP="005735B9">
      <w:pPr>
        <w:ind w:left="360"/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</w:pPr>
    </w:p>
    <w:p w14:paraId="4EC1943C" w14:textId="4BBA1AB1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Accessibility: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Ensure that documentation is easily accessible to all relevant parties, both during and after the change implementation.</w:t>
      </w:r>
    </w:p>
    <w:p w14:paraId="73609351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>13. Review and Adaptation:</w:t>
      </w:r>
    </w:p>
    <w:p w14:paraId="5B007C3E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Review Schedule: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Establish a schedule for regular reviews of the change management plan to ensure its effectiveness.</w:t>
      </w:r>
    </w:p>
    <w:p w14:paraId="3CAB2D11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i/>
          <w:iCs/>
          <w:color w:val="374151"/>
          <w:kern w:val="0"/>
          <w14:ligatures w14:val="none"/>
        </w:rPr>
        <w:t>Adaptation:</w:t>
      </w: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 xml:space="preserve"> Be prepared to adapt the plan based on feedback, changing circumstances, and the evolving needs of the organization.</w:t>
      </w:r>
    </w:p>
    <w:p w14:paraId="4D6F6689" w14:textId="77777777" w:rsid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</w:p>
    <w:p w14:paraId="0DECB727" w14:textId="1243C87F" w:rsidR="005735B9" w:rsidRPr="005735B9" w:rsidRDefault="005735B9" w:rsidP="005735B9">
      <w:pPr>
        <w:ind w:left="360"/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b/>
          <w:bCs/>
          <w:color w:val="374151"/>
          <w:kern w:val="0"/>
          <w14:ligatures w14:val="none"/>
        </w:rPr>
        <w:t>14. Conclusion:</w:t>
      </w:r>
    </w:p>
    <w:p w14:paraId="4D3AFBB4" w14:textId="77777777" w:rsidR="005735B9" w:rsidRPr="005735B9" w:rsidRDefault="005735B9" w:rsidP="005735B9">
      <w:pPr>
        <w:ind w:left="360"/>
        <w:rPr>
          <w:rFonts w:ascii="system-ui" w:eastAsia="Times New Roman" w:hAnsi="system-ui" w:cs="Times New Roman"/>
          <w:color w:val="374151"/>
          <w:kern w:val="0"/>
          <w14:ligatures w14:val="none"/>
        </w:rPr>
      </w:pPr>
      <w:r w:rsidRPr="005735B9">
        <w:rPr>
          <w:rFonts w:ascii="system-ui" w:eastAsia="Times New Roman" w:hAnsi="system-ui" w:cs="Times New Roman"/>
          <w:color w:val="374151"/>
          <w:kern w:val="0"/>
          <w14:ligatures w14:val="none"/>
        </w:rPr>
        <w:t>Summary: Summarize the key points of the change management plan, reiterating the purpose and objectives.</w:t>
      </w:r>
    </w:p>
    <w:p w14:paraId="32D02A8E" w14:textId="77777777" w:rsidR="00244EA7" w:rsidRDefault="00244EA7" w:rsidP="005735B9"/>
    <w:sectPr w:rsidR="00244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9BD"/>
    <w:multiLevelType w:val="multilevel"/>
    <w:tmpl w:val="E6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24C82"/>
    <w:multiLevelType w:val="multilevel"/>
    <w:tmpl w:val="C7AA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F0414"/>
    <w:multiLevelType w:val="multilevel"/>
    <w:tmpl w:val="3B8E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44C4F"/>
    <w:multiLevelType w:val="multilevel"/>
    <w:tmpl w:val="7E9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147B5"/>
    <w:multiLevelType w:val="multilevel"/>
    <w:tmpl w:val="4D5A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11EC8"/>
    <w:multiLevelType w:val="multilevel"/>
    <w:tmpl w:val="0606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60BD0"/>
    <w:multiLevelType w:val="multilevel"/>
    <w:tmpl w:val="B618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0664B"/>
    <w:multiLevelType w:val="multilevel"/>
    <w:tmpl w:val="4BF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B0F3E"/>
    <w:multiLevelType w:val="multilevel"/>
    <w:tmpl w:val="F788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E19D6"/>
    <w:multiLevelType w:val="multilevel"/>
    <w:tmpl w:val="AEF8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B6C6E"/>
    <w:multiLevelType w:val="multilevel"/>
    <w:tmpl w:val="1EAA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757FA"/>
    <w:multiLevelType w:val="multilevel"/>
    <w:tmpl w:val="9964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52578"/>
    <w:multiLevelType w:val="multilevel"/>
    <w:tmpl w:val="540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1674D"/>
    <w:multiLevelType w:val="multilevel"/>
    <w:tmpl w:val="7DEC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431878">
    <w:abstractNumId w:val="5"/>
  </w:num>
  <w:num w:numId="2" w16cid:durableId="1241334936">
    <w:abstractNumId w:val="8"/>
  </w:num>
  <w:num w:numId="3" w16cid:durableId="1123839275">
    <w:abstractNumId w:val="12"/>
  </w:num>
  <w:num w:numId="4" w16cid:durableId="1577352076">
    <w:abstractNumId w:val="4"/>
  </w:num>
  <w:num w:numId="5" w16cid:durableId="2037732396">
    <w:abstractNumId w:val="7"/>
  </w:num>
  <w:num w:numId="6" w16cid:durableId="1545363884">
    <w:abstractNumId w:val="1"/>
  </w:num>
  <w:num w:numId="7" w16cid:durableId="1233932161">
    <w:abstractNumId w:val="9"/>
  </w:num>
  <w:num w:numId="8" w16cid:durableId="1108424130">
    <w:abstractNumId w:val="13"/>
  </w:num>
  <w:num w:numId="9" w16cid:durableId="431781805">
    <w:abstractNumId w:val="3"/>
  </w:num>
  <w:num w:numId="10" w16cid:durableId="1861816119">
    <w:abstractNumId w:val="0"/>
  </w:num>
  <w:num w:numId="11" w16cid:durableId="1855727824">
    <w:abstractNumId w:val="6"/>
  </w:num>
  <w:num w:numId="12" w16cid:durableId="1559366023">
    <w:abstractNumId w:val="11"/>
  </w:num>
  <w:num w:numId="13" w16cid:durableId="854347245">
    <w:abstractNumId w:val="10"/>
  </w:num>
  <w:num w:numId="14" w16cid:durableId="1274171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B9"/>
    <w:rsid w:val="00244EA7"/>
    <w:rsid w:val="0057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1361F"/>
  <w15:chartTrackingRefBased/>
  <w15:docId w15:val="{C99097D6-9A90-FD42-9E7E-9AF9E390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5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35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Mukti Suvedi</dc:creator>
  <cp:keywords/>
  <dc:description/>
  <cp:lastModifiedBy>Mukti Suvedi</cp:lastModifiedBy>
  <cp:revision>1</cp:revision>
  <dcterms:created xsi:type="dcterms:W3CDTF">2024-02-05T19:59:00Z</dcterms:created>
  <dcterms:modified xsi:type="dcterms:W3CDTF">2024-02-05T20:04:00Z</dcterms:modified>
</cp:coreProperties>
</file>