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00" w:after="100"/>
      </w:pPr>
      <w:r>
        <w:rPr>
          <w:rFonts w:ascii="Aptos" w:hAnsi="Aptos"/>
          <w:b/>
          <w:color w:val="000000"/>
          <w:sz w:val="46"/>
        </w:rPr>
        <w:t>Aster Health User Acceptance Test Plan</w:t>
      </w:r>
    </w:p>
    <w:p>
      <w:pPr>
        <w:spacing w:after="200" w:line="269" w:lineRule="auto"/>
      </w:pPr>
      <w:r>
        <w:rPr>
          <w:rFonts w:ascii="Aptos" w:hAnsi="Aptos"/>
          <w:b w:val="0"/>
          <w:i w:val="0"/>
          <w:color w:val="536472"/>
          <w:sz w:val="25"/>
        </w:rPr>
        <w:t>Plan Search and Selection module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0"/>
        <w:gridCol w:w="3250"/>
        <w:gridCol w:w="3250"/>
      </w:tblGrid>
      <w:tr>
        <w:trPr>
          <w:cantSplit/>
          <w:tblHeader/>
        </w:trPr>
        <w:tc>
          <w:tcPr>
            <w:tcW w:type="dxa" w:w="1440"/>
            <w:vAlign w:val="center"/>
            <w:tcMar>
              <w:top w:w="90" w:type="dxa"/>
              <w:start w:w="100" w:type="dxa"/>
              <w:bottom w:w="90" w:type="dxa"/>
              <w:end w:w="100" w:type="dxa"/>
            </w:tcMar>
            <w:shd w:fill="173B56"/>
          </w:tcPr>
          <w:p>
            <w:pPr>
              <w:spacing w:after="0" w:line="250" w:lineRule="auto"/>
            </w:pPr>
            <w:r/>
            <w:r>
              <w:rPr>
                <w:rFonts w:ascii="Aptos" w:hAnsi="Aptos"/>
                <w:b/>
                <w:color w:val="FFFFFF"/>
                <w:sz w:val="18"/>
              </w:rPr>
              <w:t>Version</w:t>
            </w:r>
          </w:p>
        </w:tc>
        <w:tc>
          <w:tcPr>
            <w:tcW w:type="dxa" w:w="1944"/>
            <w:vAlign w:val="center"/>
            <w:tcMar>
              <w:top w:w="90" w:type="dxa"/>
              <w:start w:w="100" w:type="dxa"/>
              <w:bottom w:w="90" w:type="dxa"/>
              <w:end w:w="100" w:type="dxa"/>
            </w:tcMar>
            <w:shd w:fill="173B56"/>
          </w:tcPr>
          <w:p>
            <w:pPr>
              <w:spacing w:after="0" w:line="250" w:lineRule="auto"/>
            </w:pPr>
            <w:r/>
            <w:r>
              <w:rPr>
                <w:rFonts w:ascii="Aptos" w:hAnsi="Aptos"/>
                <w:b/>
                <w:color w:val="FFFFFF"/>
                <w:sz w:val="18"/>
              </w:rPr>
              <w:t>Prepared</w:t>
            </w:r>
          </w:p>
        </w:tc>
        <w:tc>
          <w:tcPr>
            <w:tcW w:type="dxa" w:w="6552"/>
            <w:vAlign w:val="center"/>
            <w:tcMar>
              <w:top w:w="90" w:type="dxa"/>
              <w:start w:w="100" w:type="dxa"/>
              <w:bottom w:w="90" w:type="dxa"/>
              <w:end w:w="100" w:type="dxa"/>
            </w:tcMar>
            <w:shd w:fill="173B56"/>
          </w:tcPr>
          <w:p>
            <w:pPr>
              <w:spacing w:after="0" w:line="250" w:lineRule="auto"/>
            </w:pPr>
            <w:r/>
            <w:r>
              <w:rPr>
                <w:rFonts w:ascii="Aptos" w:hAnsi="Aptos"/>
                <w:b/>
                <w:color w:val="FFFFFF"/>
                <w:sz w:val="18"/>
              </w:rPr>
              <w:t>Test status</w:t>
            </w:r>
          </w:p>
        </w:tc>
      </w:tr>
      <w:tr>
        <w:trPr>
          <w:cantSplit/>
        </w:trPr>
        <w:tc>
          <w:tcPr>
            <w:tcW w:type="dxa" w:w="1440"/>
            <w:vAlign w:val="center"/>
            <w:tcMar>
              <w:top w:w="90" w:type="dxa"/>
              <w:start w:w="100" w:type="dxa"/>
              <w:bottom w:w="90" w:type="dxa"/>
              <w:end w:w="100" w:type="dxa"/>
            </w:tcMar>
          </w:tcPr>
          <w:p>
            <w:pPr>
              <w:spacing w:after="0" w:line="250" w:lineRule="auto"/>
            </w:pPr>
            <w:r/>
            <w:r>
              <w:rPr>
                <w:rFonts w:ascii="Aptos" w:hAnsi="Aptos"/>
                <w:b w:val="0"/>
                <w:color w:val="000000"/>
                <w:sz w:val="18"/>
              </w:rPr>
              <w:t>0.1</w:t>
            </w:r>
          </w:p>
        </w:tc>
        <w:tc>
          <w:tcPr>
            <w:tcW w:type="dxa" w:w="1944"/>
            <w:vAlign w:val="center"/>
            <w:tcMar>
              <w:top w:w="90" w:type="dxa"/>
              <w:start w:w="100" w:type="dxa"/>
              <w:bottom w:w="90" w:type="dxa"/>
              <w:end w:w="100" w:type="dxa"/>
            </w:tcMar>
          </w:tcPr>
          <w:p>
            <w:pPr>
              <w:spacing w:after="0" w:line="250" w:lineRule="auto"/>
            </w:pPr>
            <w:r/>
            <w:r>
              <w:rPr>
                <w:rFonts w:ascii="Aptos" w:hAnsi="Aptos"/>
                <w:b w:val="0"/>
                <w:color w:val="000000"/>
                <w:sz w:val="18"/>
              </w:rPr>
              <w:t>4 October 2026</w:t>
            </w:r>
          </w:p>
        </w:tc>
        <w:tc>
          <w:tcPr>
            <w:tcW w:type="dxa" w:w="6552"/>
            <w:vAlign w:val="center"/>
            <w:tcMar>
              <w:top w:w="90" w:type="dxa"/>
              <w:start w:w="100" w:type="dxa"/>
              <w:bottom w:w="90" w:type="dxa"/>
              <w:end w:w="100" w:type="dxa"/>
            </w:tcMar>
          </w:tcPr>
          <w:p>
            <w:pPr>
              <w:spacing w:after="0" w:line="250" w:lineRule="auto"/>
            </w:pPr>
            <w:r/>
            <w:r>
              <w:rPr>
                <w:rFonts w:ascii="Aptos" w:hAnsi="Aptos"/>
                <w:b w:val="0"/>
                <w:color w:val="000000"/>
                <w:sz w:val="18"/>
              </w:rPr>
              <w:t>Plan and cases prepared; execution not started</w:t>
            </w:r>
          </w:p>
        </w:tc>
      </w:tr>
    </w:tbl>
    <w:p>
      <w:pPr>
        <w:spacing w:after="20"/>
      </w:pPr>
    </w:p>
    <w:p>
      <w:pPr>
        <w:pStyle w:val="Heading1"/>
        <w:keepNext/>
        <w:spacing w:before="240" w:after="100"/>
      </w:pPr>
      <w:r>
        <w:rPr>
          <w:rFonts w:ascii="Aptos" w:hAnsi="Aptos"/>
          <w:b/>
          <w:color w:val="000000"/>
          <w:sz w:val="30"/>
        </w:rPr>
        <w:t>Purpose and recommendation</w:t>
      </w:r>
    </w:p>
    <w:p>
      <w:pPr>
        <w:spacing w:after="100" w:line="269" w:lineRule="auto"/>
      </w:pPr>
      <w:r>
        <w:rPr>
          <w:rFonts w:ascii="Aptos" w:hAnsi="Aptos"/>
          <w:b w:val="0"/>
          <w:i w:val="0"/>
          <w:color w:val="000000"/>
          <w:sz w:val="21"/>
        </w:rPr>
        <w:t>This plan defines how Aster Health business representatives can accept the mobile Plan Search and Selection module against the approved business journey. The accompanying execution tracker contains 26 test cases with steps, expected results, traceability, and fields for actual results, defects, evidence, tester, and run date.</w:t>
      </w:r>
    </w:p>
    <w:p>
      <w:pPr>
        <w:spacing w:after="100" w:line="269" w:lineRule="auto"/>
      </w:pPr>
      <w:r>
        <w:rPr>
          <w:rFonts w:ascii="Aptos" w:hAnsi="Aptos"/>
          <w:b w:val="0"/>
          <w:i w:val="0"/>
          <w:color w:val="000000"/>
          <w:sz w:val="21"/>
        </w:rPr>
        <w:t>Testing should begin only after the open rules and test environment are approved. County versus Country, catalogue values, benefit matching, the GDS/partner and contract, plan-data definitions, and the phone/enrollment handoffs affect expected results. The cases are prepared for execution, but no test has been run and no result is recorded.</w:t>
      </w:r>
    </w:p>
    <w:p>
      <w:pPr>
        <w:pStyle w:val="Heading1"/>
        <w:keepNext/>
        <w:spacing w:before="240" w:after="100"/>
      </w:pPr>
      <w:r>
        <w:rPr>
          <w:rFonts w:ascii="Aptos" w:hAnsi="Aptos"/>
          <w:b/>
          <w:color w:val="000000"/>
          <w:sz w:val="30"/>
        </w:rPr>
        <w:t>1. UAT objectives</w:t>
      </w:r>
    </w:p>
    <w:p>
      <w:pPr>
        <w:pStyle w:val="ListBullet"/>
        <w:spacing w:after="60" w:line="259" w:lineRule="auto"/>
      </w:pPr>
      <w:r>
        <w:rPr>
          <w:rFonts w:ascii="Aptos" w:hAnsi="Aptos"/>
          <w:b w:val="0"/>
          <w:color w:val="000000"/>
          <w:sz w:val="20"/>
        </w:rPr>
        <w:t>Confirm a member can enter the plan search, provide the approved required criteria, and submit a valid request.</w:t>
      </w:r>
    </w:p>
    <w:p>
      <w:pPr>
        <w:pStyle w:val="ListBullet"/>
        <w:spacing w:after="60" w:line="259" w:lineRule="auto"/>
      </w:pPr>
      <w:r>
        <w:rPr>
          <w:rFonts w:ascii="Aptos" w:hAnsi="Aptos"/>
          <w:b w:val="0"/>
          <w:color w:val="000000"/>
          <w:sz w:val="20"/>
        </w:rPr>
        <w:t>Confirm matching plan information and cost-sharing are displayed from approved data, with the same plan identity maintained through detail and action links.</w:t>
      </w:r>
    </w:p>
    <w:p>
      <w:pPr>
        <w:pStyle w:val="ListBullet"/>
        <w:spacing w:after="60" w:line="259" w:lineRule="auto"/>
      </w:pPr>
      <w:r>
        <w:rPr>
          <w:rFonts w:ascii="Aptos" w:hAnsi="Aptos"/>
          <w:b w:val="0"/>
          <w:color w:val="000000"/>
          <w:sz w:val="20"/>
        </w:rPr>
        <w:t>Confirm valid no-match results are distinct from source errors and that agreed recovery behavior works.</w:t>
      </w:r>
    </w:p>
    <w:p>
      <w:pPr>
        <w:pStyle w:val="ListBullet"/>
        <w:spacing w:after="60" w:line="259" w:lineRule="auto"/>
      </w:pPr>
      <w:r>
        <w:rPr>
          <w:rFonts w:ascii="Aptos" w:hAnsi="Aptos"/>
          <w:b w:val="0"/>
          <w:color w:val="000000"/>
          <w:sz w:val="20"/>
        </w:rPr>
        <w:t>Confirm each Talk to a Representative link uses that result’s phone number and each Enroll link opens that plan’s approved external destination.</w:t>
      </w:r>
    </w:p>
    <w:p>
      <w:pPr>
        <w:pStyle w:val="ListBullet"/>
        <w:spacing w:after="60" w:line="259" w:lineRule="auto"/>
      </w:pPr>
      <w:r>
        <w:rPr>
          <w:rFonts w:ascii="Aptos" w:hAnsi="Aptos"/>
          <w:b w:val="0"/>
          <w:color w:val="000000"/>
          <w:sz w:val="20"/>
        </w:rPr>
        <w:t>Confirm the module stops at the enrollment handoff and does not implement enrollment navigation or completion.</w:t>
      </w:r>
    </w:p>
    <w:p>
      <w:pPr>
        <w:pStyle w:val="ListBullet"/>
        <w:spacing w:after="60" w:line="259" w:lineRule="auto"/>
      </w:pPr>
      <w:r>
        <w:rPr>
          <w:rFonts w:ascii="Aptos" w:hAnsi="Aptos"/>
          <w:b w:val="0"/>
          <w:color w:val="000000"/>
          <w:sz w:val="20"/>
        </w:rPr>
        <w:t>Capture business acceptance, defects, evidence, and unresolved decisions before release.</w:t>
      </w:r>
    </w:p>
    <w:p>
      <w:pPr>
        <w:pStyle w:val="Heading1"/>
        <w:keepNext/>
        <w:spacing w:before="240" w:after="100"/>
      </w:pPr>
      <w:r>
        <w:rPr>
          <w:rFonts w:ascii="Aptos" w:hAnsi="Aptos"/>
          <w:b/>
          <w:color w:val="000000"/>
          <w:sz w:val="30"/>
        </w:rPr>
        <w:t>2. Scope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4"/>
        <w:gridCol w:w="4874"/>
      </w:tblGrid>
      <w:tr>
        <w:trPr>
          <w:cantSplit/>
          <w:tblHeader/>
        </w:trPr>
        <w:tc>
          <w:tcPr>
            <w:tcW w:type="dxa" w:w="4752"/>
            <w:vAlign w:val="center"/>
            <w:tcMar>
              <w:top w:w="90" w:type="dxa"/>
              <w:start w:w="100" w:type="dxa"/>
              <w:bottom w:w="90" w:type="dxa"/>
              <w:end w:w="100" w:type="dxa"/>
            </w:tcMar>
            <w:shd w:fill="173B56"/>
          </w:tcPr>
          <w:p>
            <w:pPr>
              <w:spacing w:after="0" w:line="250" w:lineRule="auto"/>
            </w:pPr>
            <w:r/>
            <w:r>
              <w:rPr>
                <w:rFonts w:ascii="Aptos" w:hAnsi="Aptos"/>
                <w:b/>
                <w:color w:val="FFFFFF"/>
                <w:sz w:val="18"/>
              </w:rPr>
              <w:t>Included in UAT</w:t>
            </w:r>
          </w:p>
        </w:tc>
        <w:tc>
          <w:tcPr>
            <w:tcW w:type="dxa" w:w="4752"/>
            <w:vAlign w:val="center"/>
            <w:tcMar>
              <w:top w:w="90" w:type="dxa"/>
              <w:start w:w="100" w:type="dxa"/>
              <w:bottom w:w="90" w:type="dxa"/>
              <w:end w:w="100" w:type="dxa"/>
            </w:tcMar>
            <w:shd w:fill="173B56"/>
          </w:tcPr>
          <w:p>
            <w:pPr>
              <w:spacing w:after="0" w:line="250" w:lineRule="auto"/>
            </w:pPr>
            <w:r/>
            <w:r>
              <w:rPr>
                <w:rFonts w:ascii="Aptos" w:hAnsi="Aptos"/>
                <w:b/>
                <w:color w:val="FFFFFF"/>
                <w:sz w:val="18"/>
              </w:rPr>
              <w:t>Excluded from this UAT</w:t>
            </w:r>
          </w:p>
        </w:tc>
      </w:tr>
      <w:tr>
        <w:trPr>
          <w:cantSplit/>
        </w:trPr>
        <w:tc>
          <w:tcPr>
            <w:tcW w:type="dxa" w:w="4752"/>
            <w:vAlign w:val="center"/>
            <w:tcMar>
              <w:top w:w="90" w:type="dxa"/>
              <w:start w:w="100" w:type="dxa"/>
              <w:bottom w:w="90" w:type="dxa"/>
              <w:end w:w="100" w:type="dxa"/>
            </w:tcMar>
          </w:tcPr>
          <w:p>
            <w:pPr>
              <w:spacing w:after="0" w:line="250" w:lineRule="auto"/>
            </w:pPr>
            <w:r/>
            <w:r>
              <w:rPr>
                <w:rFonts w:ascii="Aptos" w:hAnsi="Aptos"/>
                <w:b w:val="0"/>
                <w:color w:val="000000"/>
                <w:sz w:val="18"/>
              </w:rPr>
              <w:t>Authenticated entry into plan search; State, City, and the approved third geography; plan-type selection; multi-select essential benefits; validation; search; results and plan details; no-match/error paths; plan-specific phone and enrollment handoffs; approved accessibility and platform checks.</w:t>
            </w:r>
          </w:p>
        </w:tc>
        <w:tc>
          <w:tcPr>
            <w:tcW w:type="dxa" w:w="4752"/>
            <w:vAlign w:val="center"/>
            <w:tcMar>
              <w:top w:w="90" w:type="dxa"/>
              <w:start w:w="100" w:type="dxa"/>
              <w:bottom w:w="90" w:type="dxa"/>
              <w:end w:w="100" w:type="dxa"/>
            </w:tcMar>
          </w:tcPr>
          <w:p>
            <w:pPr>
              <w:spacing w:after="0" w:line="250" w:lineRule="auto"/>
            </w:pPr>
            <w:r/>
            <w:r>
              <w:rPr>
                <w:rFonts w:ascii="Aptos" w:hAnsi="Aptos"/>
                <w:b w:val="0"/>
                <w:color w:val="000000"/>
                <w:sz w:val="18"/>
              </w:rPr>
              <w:t>Enrollment forms and completion; eligibility, coverage, claims, care finding, cost estimation, appointments, and teleconsultation; GDS operation itself; external call-center acceptance; external enrollment journey after the handoff.</w:t>
            </w:r>
          </w:p>
        </w:tc>
      </w:tr>
    </w:tbl>
    <w:p>
      <w:pPr>
        <w:spacing w:after="20"/>
      </w:pPr>
    </w:p>
    <w:p>
      <w:pPr>
        <w:spacing w:after="80" w:line="269" w:lineRule="auto"/>
      </w:pPr>
      <w:r>
        <w:rPr>
          <w:rFonts w:ascii="Aptos" w:hAnsi="Aptos"/>
          <w:b w:val="0"/>
          <w:i/>
          <w:color w:val="536472"/>
          <w:sz w:val="19"/>
        </w:rPr>
        <w:t>The current manual inquiry process is not an observed baseline yet. The As-Is BPMN is a hypothesis based on the brief and should be validated separately with Member Services.</w:t>
      </w:r>
    </w:p>
    <w:p>
      <w:pPr>
        <w:pStyle w:val="Heading1"/>
        <w:keepNext/>
        <w:spacing w:before="240" w:after="100"/>
      </w:pPr>
      <w:r>
        <w:rPr>
          <w:rFonts w:ascii="Aptos" w:hAnsi="Aptos"/>
          <w:b/>
          <w:color w:val="000000"/>
          <w:sz w:val="30"/>
        </w:rPr>
        <w:t>3. Roles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4"/>
        <w:gridCol w:w="4874"/>
      </w:tblGrid>
      <w:tr>
        <w:trPr>
          <w:cantSplit/>
          <w:tblHeader/>
        </w:trPr>
        <w:tc>
          <w:tcPr>
            <w:tcW w:type="dxa" w:w="2520"/>
            <w:vAlign w:val="center"/>
            <w:tcMar>
              <w:top w:w="90" w:type="dxa"/>
              <w:start w:w="100" w:type="dxa"/>
              <w:bottom w:w="90" w:type="dxa"/>
              <w:end w:w="100" w:type="dxa"/>
            </w:tcMar>
            <w:shd w:fill="173B56"/>
          </w:tcPr>
          <w:p>
            <w:pPr>
              <w:spacing w:after="0" w:line="250" w:lineRule="auto"/>
            </w:pPr>
            <w:r/>
            <w:r>
              <w:rPr>
                <w:rFonts w:ascii="Aptos" w:hAnsi="Aptos"/>
                <w:b/>
                <w:color w:val="FFFFFF"/>
                <w:sz w:val="18"/>
              </w:rPr>
              <w:t>Role</w:t>
            </w:r>
          </w:p>
        </w:tc>
        <w:tc>
          <w:tcPr>
            <w:tcW w:type="dxa" w:w="6984"/>
            <w:vAlign w:val="center"/>
            <w:tcMar>
              <w:top w:w="90" w:type="dxa"/>
              <w:start w:w="100" w:type="dxa"/>
              <w:bottom w:w="90" w:type="dxa"/>
              <w:end w:w="100" w:type="dxa"/>
            </w:tcMar>
            <w:shd w:fill="173B56"/>
          </w:tcPr>
          <w:p>
            <w:pPr>
              <w:spacing w:after="0" w:line="250" w:lineRule="auto"/>
            </w:pPr>
            <w:r/>
            <w:r>
              <w:rPr>
                <w:rFonts w:ascii="Aptos" w:hAnsi="Aptos"/>
                <w:b/>
                <w:color w:val="FFFFFF"/>
                <w:sz w:val="18"/>
              </w:rPr>
              <w:t>UAT responsibility</w:t>
            </w:r>
          </w:p>
        </w:tc>
      </w:tr>
      <w:tr>
        <w:trPr>
          <w:cantSplit/>
        </w:trPr>
        <w:tc>
          <w:tcPr>
            <w:tcW w:type="dxa" w:w="2520"/>
            <w:vAlign w:val="center"/>
            <w:tcMar>
              <w:top w:w="90" w:type="dxa"/>
              <w:start w:w="100" w:type="dxa"/>
              <w:bottom w:w="90" w:type="dxa"/>
              <w:end w:w="100" w:type="dxa"/>
            </w:tcMar>
          </w:tcPr>
          <w:p>
            <w:pPr>
              <w:spacing w:after="0" w:line="250" w:lineRule="auto"/>
            </w:pPr>
            <w:r/>
            <w:r>
              <w:rPr>
                <w:rFonts w:ascii="Aptos" w:hAnsi="Aptos"/>
                <w:b w:val="0"/>
                <w:color w:val="000000"/>
                <w:sz w:val="17"/>
              </w:rPr>
              <w:t>Business tester / Member Services</w:t>
            </w:r>
          </w:p>
        </w:tc>
        <w:tc>
          <w:tcPr>
            <w:tcW w:type="dxa" w:w="6984"/>
            <w:vAlign w:val="center"/>
            <w:tcMar>
              <w:top w:w="90" w:type="dxa"/>
              <w:start w:w="100" w:type="dxa"/>
              <w:bottom w:w="90" w:type="dxa"/>
              <w:end w:w="100" w:type="dxa"/>
            </w:tcMar>
          </w:tcPr>
          <w:p>
            <w:pPr>
              <w:spacing w:after="0" w:line="250" w:lineRule="auto"/>
            </w:pPr>
            <w:r/>
            <w:r>
              <w:rPr>
                <w:rFonts w:ascii="Aptos" w:hAnsi="Aptos"/>
                <w:b w:val="0"/>
                <w:color w:val="000000"/>
                <w:sz w:val="17"/>
              </w:rPr>
              <w:t>Runs assigned member and support scenarios, records actual results, and attaches evidence.</w:t>
            </w:r>
          </w:p>
        </w:tc>
      </w:tr>
      <w:tr>
        <w:trPr>
          <w:cantSplit/>
        </w:trPr>
        <w:tc>
          <w:tcPr>
            <w:tcW w:type="dxa" w:w="252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Product Owner</w:t>
            </w:r>
          </w:p>
        </w:tc>
        <w:tc>
          <w:tcPr>
            <w:tcW w:type="dxa" w:w="698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Approves expected business behavior, resolves product decisions, triages defects, and accepts or rejects scope.</w:t>
            </w:r>
          </w:p>
        </w:tc>
      </w:tr>
      <w:tr>
        <w:trPr>
          <w:cantSplit/>
        </w:trPr>
        <w:tc>
          <w:tcPr>
            <w:tcW w:type="dxa" w:w="2520"/>
            <w:vAlign w:val="center"/>
            <w:tcMar>
              <w:top w:w="90" w:type="dxa"/>
              <w:start w:w="100" w:type="dxa"/>
              <w:bottom w:w="90" w:type="dxa"/>
              <w:end w:w="100" w:type="dxa"/>
            </w:tcMar>
          </w:tcPr>
          <w:p>
            <w:pPr>
              <w:spacing w:after="0" w:line="250" w:lineRule="auto"/>
            </w:pPr>
            <w:r/>
            <w:r>
              <w:rPr>
                <w:rFonts w:ascii="Aptos" w:hAnsi="Aptos"/>
                <w:b w:val="0"/>
                <w:color w:val="000000"/>
                <w:sz w:val="17"/>
              </w:rPr>
              <w:t>BA / UAT coordinator</w:t>
            </w:r>
          </w:p>
        </w:tc>
        <w:tc>
          <w:tcPr>
            <w:tcW w:type="dxa" w:w="6984"/>
            <w:vAlign w:val="center"/>
            <w:tcMar>
              <w:top w:w="90" w:type="dxa"/>
              <w:start w:w="100" w:type="dxa"/>
              <w:bottom w:w="90" w:type="dxa"/>
              <w:end w:w="100" w:type="dxa"/>
            </w:tcMar>
          </w:tcPr>
          <w:p>
            <w:pPr>
              <w:spacing w:after="0" w:line="250" w:lineRule="auto"/>
            </w:pPr>
            <w:r/>
            <w:r>
              <w:rPr>
                <w:rFonts w:ascii="Aptos" w:hAnsi="Aptos"/>
                <w:b w:val="0"/>
                <w:color w:val="000000"/>
                <w:sz w:val="17"/>
              </w:rPr>
              <w:t>Maintains traceability, prepares cases and data, coordinates sessions, records decisions, and consolidates sign-off.</w:t>
            </w:r>
          </w:p>
        </w:tc>
      </w:tr>
      <w:tr>
        <w:trPr>
          <w:cantSplit/>
        </w:trPr>
        <w:tc>
          <w:tcPr>
            <w:tcW w:type="dxa" w:w="252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QA lead</w:t>
            </w:r>
          </w:p>
        </w:tc>
        <w:tc>
          <w:tcPr>
            <w:tcW w:type="dxa" w:w="698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Confirms test build, supports defect reproduction, assesses regression coverage, and verifies fixes.</w:t>
            </w:r>
          </w:p>
        </w:tc>
      </w:tr>
      <w:tr>
        <w:trPr>
          <w:cantSplit/>
        </w:trPr>
        <w:tc>
          <w:tcPr>
            <w:tcW w:type="dxa" w:w="2520"/>
            <w:vAlign w:val="center"/>
            <w:tcMar>
              <w:top w:w="90" w:type="dxa"/>
              <w:start w:w="100" w:type="dxa"/>
              <w:bottom w:w="90" w:type="dxa"/>
              <w:end w:w="100" w:type="dxa"/>
            </w:tcMar>
          </w:tcPr>
          <w:p>
            <w:pPr>
              <w:spacing w:after="0" w:line="250" w:lineRule="auto"/>
            </w:pPr>
            <w:r/>
            <w:r>
              <w:rPr>
                <w:rFonts w:ascii="Aptos" w:hAnsi="Aptos"/>
                <w:b w:val="0"/>
                <w:color w:val="000000"/>
                <w:sz w:val="17"/>
              </w:rPr>
              <w:t>Integration / Plan Data owners</w:t>
            </w:r>
          </w:p>
        </w:tc>
        <w:tc>
          <w:tcPr>
            <w:tcW w:type="dxa" w:w="6984"/>
            <w:vAlign w:val="center"/>
            <w:tcMar>
              <w:top w:w="90" w:type="dxa"/>
              <w:start w:w="100" w:type="dxa"/>
              <w:bottom w:w="90" w:type="dxa"/>
              <w:end w:w="100" w:type="dxa"/>
            </w:tcMar>
          </w:tcPr>
          <w:p>
            <w:pPr>
              <w:spacing w:after="0" w:line="250" w:lineRule="auto"/>
            </w:pPr>
            <w:r/>
            <w:r>
              <w:rPr>
                <w:rFonts w:ascii="Aptos" w:hAnsi="Aptos"/>
                <w:b w:val="0"/>
                <w:color w:val="000000"/>
                <w:sz w:val="17"/>
              </w:rPr>
              <w:t>Provide approved test catalogue, plan records, interface outcomes, and ownership for source data and handoffs.</w:t>
            </w:r>
          </w:p>
        </w:tc>
      </w:tr>
      <w:tr>
        <w:trPr>
          <w:cantSplit/>
        </w:trPr>
        <w:tc>
          <w:tcPr>
            <w:tcW w:type="dxa" w:w="252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Security / Accessibility / Mobile leads</w:t>
            </w:r>
          </w:p>
        </w:tc>
        <w:tc>
          <w:tcPr>
            <w:tcW w:type="dxa" w:w="698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Support approved platform, privacy, accessibility, and device-handling checks.</w:t>
            </w:r>
          </w:p>
        </w:tc>
      </w:tr>
    </w:tbl>
    <w:p>
      <w:pPr>
        <w:spacing w:after="20"/>
      </w:pPr>
    </w:p>
    <w:p>
      <w:pPr>
        <w:pStyle w:val="Heading1"/>
        <w:keepNext/>
        <w:spacing w:before="240" w:after="100"/>
      </w:pPr>
      <w:r>
        <w:rPr>
          <w:rFonts w:ascii="Aptos" w:hAnsi="Aptos"/>
          <w:b/>
          <w:color w:val="000000"/>
          <w:sz w:val="30"/>
        </w:rPr>
        <w:t>4. Entry criteria and readiness gates</w:t>
      </w:r>
    </w:p>
    <w:p>
      <w:pPr>
        <w:spacing w:after="100" w:line="269" w:lineRule="auto"/>
      </w:pPr>
      <w:r>
        <w:rPr>
          <w:rFonts w:ascii="Aptos" w:hAnsi="Aptos"/>
          <w:b w:val="0"/>
          <w:i w:val="0"/>
          <w:color w:val="000000"/>
          <w:sz w:val="20"/>
        </w:rPr>
        <w:t>The Product Owner and UAT coordinator should record evidence against each gate before scheduling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4"/>
        <w:gridCol w:w="4874"/>
      </w:tblGrid>
      <w:tr>
        <w:trPr>
          <w:cantSplit/>
          <w:tblHeader/>
        </w:trPr>
        <w:tc>
          <w:tcPr>
            <w:tcW w:type="dxa" w:w="1872"/>
            <w:vAlign w:val="center"/>
            <w:tcMar>
              <w:top w:w="90" w:type="dxa"/>
              <w:start w:w="100" w:type="dxa"/>
              <w:bottom w:w="90" w:type="dxa"/>
              <w:end w:w="100" w:type="dxa"/>
            </w:tcMar>
            <w:shd w:fill="173B56"/>
          </w:tcPr>
          <w:p>
            <w:pPr>
              <w:spacing w:after="0" w:line="250" w:lineRule="auto"/>
            </w:pPr>
            <w:r/>
            <w:r>
              <w:rPr>
                <w:rFonts w:ascii="Aptos" w:hAnsi="Aptos"/>
                <w:b/>
                <w:color w:val="FFFFFF"/>
                <w:sz w:val="18"/>
              </w:rPr>
              <w:t>Gate</w:t>
            </w:r>
          </w:p>
        </w:tc>
        <w:tc>
          <w:tcPr>
            <w:tcW w:type="dxa" w:w="7632"/>
            <w:vAlign w:val="center"/>
            <w:tcMar>
              <w:top w:w="90" w:type="dxa"/>
              <w:start w:w="100" w:type="dxa"/>
              <w:bottom w:w="90" w:type="dxa"/>
              <w:end w:w="100" w:type="dxa"/>
            </w:tcMar>
            <w:shd w:fill="173B56"/>
          </w:tcPr>
          <w:p>
            <w:pPr>
              <w:spacing w:after="0" w:line="250" w:lineRule="auto"/>
            </w:pPr>
            <w:r/>
            <w:r>
              <w:rPr>
                <w:rFonts w:ascii="Aptos" w:hAnsi="Aptos"/>
                <w:b/>
                <w:color w:val="FFFFFF"/>
                <w:sz w:val="18"/>
              </w:rPr>
              <w:t>Ready when</w:t>
            </w:r>
          </w:p>
        </w:tc>
      </w:tr>
      <w:tr>
        <w:trPr>
          <w:cantSplit/>
        </w:trPr>
        <w:tc>
          <w:tcPr>
            <w:tcW w:type="dxa" w:w="1872"/>
            <w:vAlign w:val="center"/>
            <w:tcMar>
              <w:top w:w="90" w:type="dxa"/>
              <w:start w:w="100" w:type="dxa"/>
              <w:bottom w:w="90" w:type="dxa"/>
              <w:end w:w="100" w:type="dxa"/>
            </w:tcMar>
          </w:tcPr>
          <w:p>
            <w:pPr>
              <w:spacing w:after="0" w:line="250" w:lineRule="auto"/>
            </w:pPr>
            <w:r/>
            <w:r>
              <w:rPr>
                <w:rFonts w:ascii="Aptos" w:hAnsi="Aptos"/>
                <w:b w:val="0"/>
                <w:color w:val="000000"/>
                <w:sz w:val="17"/>
              </w:rPr>
              <w:t>Requirements</w:t>
            </w:r>
          </w:p>
        </w:tc>
        <w:tc>
          <w:tcPr>
            <w:tcW w:type="dxa" w:w="7632"/>
            <w:vAlign w:val="center"/>
            <w:tcMar>
              <w:top w:w="90" w:type="dxa"/>
              <w:start w:w="100" w:type="dxa"/>
              <w:bottom w:w="90" w:type="dxa"/>
              <w:end w:w="100" w:type="dxa"/>
            </w:tcMar>
          </w:tcPr>
          <w:p>
            <w:pPr>
              <w:spacing w:after="0" w:line="250" w:lineRule="auto"/>
            </w:pPr>
            <w:r/>
            <w:r>
              <w:rPr>
                <w:rFonts w:ascii="Aptos" w:hAnsi="Aptos"/>
                <w:b w:val="0"/>
                <w:color w:val="000000"/>
                <w:sz w:val="17"/>
              </w:rPr>
              <w:t>BRD/PRD/FRD/SRS and solution map are approved for UAT; proposed behavior is either approved or excluded from the acceptance baseline.</w:t>
            </w:r>
          </w:p>
        </w:tc>
      </w:tr>
      <w:tr>
        <w:trPr>
          <w:cantSplit/>
        </w:trPr>
        <w:tc>
          <w:tcPr>
            <w:tcW w:type="dxa" w:w="187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Open decisions</w:t>
            </w:r>
          </w:p>
        </w:tc>
        <w:tc>
          <w:tcPr>
            <w:tcW w:type="dxa" w:w="763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D-01 through D-07 in the solution map / gap analysis are resolved where they affect a test’s expected result. Cases may remain blocked until then.</w:t>
            </w:r>
          </w:p>
        </w:tc>
      </w:tr>
      <w:tr>
        <w:trPr>
          <w:cantSplit/>
        </w:trPr>
        <w:tc>
          <w:tcPr>
            <w:tcW w:type="dxa" w:w="1872"/>
            <w:vAlign w:val="center"/>
            <w:tcMar>
              <w:top w:w="90" w:type="dxa"/>
              <w:start w:w="100" w:type="dxa"/>
              <w:bottom w:w="90" w:type="dxa"/>
              <w:end w:w="100" w:type="dxa"/>
            </w:tcMar>
          </w:tcPr>
          <w:p>
            <w:pPr>
              <w:spacing w:after="0" w:line="250" w:lineRule="auto"/>
            </w:pPr>
            <w:r/>
            <w:r>
              <w:rPr>
                <w:rFonts w:ascii="Aptos" w:hAnsi="Aptos"/>
                <w:b w:val="0"/>
                <w:color w:val="000000"/>
                <w:sz w:val="17"/>
              </w:rPr>
              <w:t>Build and environment</w:t>
            </w:r>
          </w:p>
        </w:tc>
        <w:tc>
          <w:tcPr>
            <w:tcW w:type="dxa" w:w="7632"/>
            <w:vAlign w:val="center"/>
            <w:tcMar>
              <w:top w:w="90" w:type="dxa"/>
              <w:start w:w="100" w:type="dxa"/>
              <w:bottom w:w="90" w:type="dxa"/>
              <w:end w:w="100" w:type="dxa"/>
            </w:tcMar>
          </w:tcPr>
          <w:p>
            <w:pPr>
              <w:spacing w:after="0" w:line="250" w:lineRule="auto"/>
            </w:pPr>
            <w:r/>
            <w:r>
              <w:rPr>
                <w:rFonts w:ascii="Aptos" w:hAnsi="Aptos"/>
                <w:b w:val="0"/>
                <w:color w:val="000000"/>
                <w:sz w:val="17"/>
              </w:rPr>
              <w:t>A deployed, identified test build is available on agreed supported iOS/Android versions; interfaces and external destinations use approved test-safe endpoints.</w:t>
            </w:r>
          </w:p>
        </w:tc>
      </w:tr>
      <w:tr>
        <w:trPr>
          <w:cantSplit/>
        </w:trPr>
        <w:tc>
          <w:tcPr>
            <w:tcW w:type="dxa" w:w="187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Accounts and access</w:t>
            </w:r>
          </w:p>
        </w:tc>
        <w:tc>
          <w:tcPr>
            <w:tcW w:type="dxa" w:w="763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Test accounts, tester access, and required roles are provisioned. Use synthetic member and plan records only; do not enter real member or health information.</w:t>
            </w:r>
          </w:p>
        </w:tc>
      </w:tr>
      <w:tr>
        <w:trPr>
          <w:cantSplit/>
        </w:trPr>
        <w:tc>
          <w:tcPr>
            <w:tcW w:type="dxa" w:w="1872"/>
            <w:vAlign w:val="center"/>
            <w:tcMar>
              <w:top w:w="90" w:type="dxa"/>
              <w:start w:w="100" w:type="dxa"/>
              <w:bottom w:w="90" w:type="dxa"/>
              <w:end w:w="100" w:type="dxa"/>
            </w:tcMar>
          </w:tcPr>
          <w:p>
            <w:pPr>
              <w:spacing w:after="0" w:line="250" w:lineRule="auto"/>
            </w:pPr>
            <w:r/>
            <w:r>
              <w:rPr>
                <w:rFonts w:ascii="Aptos" w:hAnsi="Aptos"/>
                <w:b w:val="0"/>
                <w:color w:val="000000"/>
                <w:sz w:val="17"/>
              </w:rPr>
              <w:t>Test data</w:t>
            </w:r>
          </w:p>
        </w:tc>
        <w:tc>
          <w:tcPr>
            <w:tcW w:type="dxa" w:w="7632"/>
            <w:vAlign w:val="center"/>
            <w:tcMar>
              <w:top w:w="90" w:type="dxa"/>
              <w:start w:w="100" w:type="dxa"/>
              <w:bottom w:w="90" w:type="dxa"/>
              <w:end w:w="100" w:type="dxa"/>
            </w:tcMar>
          </w:tcPr>
          <w:p>
            <w:pPr>
              <w:spacing w:after="0" w:line="250" w:lineRule="auto"/>
            </w:pPr>
            <w:r/>
            <w:r>
              <w:rPr>
                <w:rFonts w:ascii="Aptos" w:hAnsi="Aptos"/>
                <w:b w:val="0"/>
                <w:color w:val="000000"/>
                <w:sz w:val="17"/>
              </w:rPr>
              <w:t>Plan Data Owner provides known matching, non-matching, multi-benefit, no-destination, and error cases with expected source values.</w:t>
            </w:r>
          </w:p>
        </w:tc>
      </w:tr>
      <w:tr>
        <w:trPr>
          <w:cantSplit/>
        </w:trPr>
        <w:tc>
          <w:tcPr>
            <w:tcW w:type="dxa" w:w="187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Defect process</w:t>
            </w:r>
          </w:p>
        </w:tc>
        <w:tc>
          <w:tcPr>
            <w:tcW w:type="dxa" w:w="763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Defect tool, severity definitions, triage owner, retest method, and evidence-handling rules are agreed.</w:t>
            </w:r>
          </w:p>
        </w:tc>
      </w:tr>
      <w:tr>
        <w:trPr>
          <w:cantSplit/>
        </w:trPr>
        <w:tc>
          <w:tcPr>
            <w:tcW w:type="dxa" w:w="1872"/>
            <w:vAlign w:val="center"/>
            <w:tcMar>
              <w:top w:w="90" w:type="dxa"/>
              <w:start w:w="100" w:type="dxa"/>
              <w:bottom w:w="90" w:type="dxa"/>
              <w:end w:w="100" w:type="dxa"/>
            </w:tcMar>
          </w:tcPr>
          <w:p>
            <w:pPr>
              <w:spacing w:after="0" w:line="250" w:lineRule="auto"/>
            </w:pPr>
            <w:r/>
            <w:r>
              <w:rPr>
                <w:rFonts w:ascii="Aptos" w:hAnsi="Aptos"/>
                <w:b w:val="0"/>
                <w:color w:val="000000"/>
                <w:sz w:val="17"/>
              </w:rPr>
              <w:t>Support and measurement</w:t>
            </w:r>
          </w:p>
        </w:tc>
        <w:tc>
          <w:tcPr>
            <w:tcW w:type="dxa" w:w="7632"/>
            <w:vAlign w:val="center"/>
            <w:tcMar>
              <w:top w:w="90" w:type="dxa"/>
              <w:start w:w="100" w:type="dxa"/>
              <w:bottom w:w="90" w:type="dxa"/>
              <w:end w:w="100" w:type="dxa"/>
            </w:tcMar>
          </w:tcPr>
          <w:p>
            <w:pPr>
              <w:spacing w:after="0" w:line="250" w:lineRule="auto"/>
            </w:pPr>
            <w:r/>
            <w:r>
              <w:rPr>
                <w:rFonts w:ascii="Aptos" w:hAnsi="Aptos"/>
                <w:b w:val="0"/>
                <w:color w:val="000000"/>
                <w:sz w:val="17"/>
              </w:rPr>
              <w:t>Helpdesk boundary, logging/analytics behavior, support contact, and any UAT environment monitoring are confirmed.</w:t>
            </w:r>
          </w:p>
        </w:tc>
      </w:tr>
    </w:tbl>
    <w:p>
      <w:pPr>
        <w:spacing w:after="20"/>
      </w:pPr>
    </w:p>
    <w:p>
      <w:pPr>
        <w:pStyle w:val="Heading1"/>
        <w:keepNext/>
        <w:spacing w:before="240" w:after="100"/>
      </w:pPr>
      <w:r>
        <w:rPr>
          <w:rFonts w:ascii="Aptos" w:hAnsi="Aptos"/>
          <w:b/>
          <w:color w:val="000000"/>
          <w:sz w:val="30"/>
        </w:rPr>
        <w:t>5. Execution approach</w:t>
      </w:r>
    </w:p>
    <w:p>
      <w:pPr>
        <w:pStyle w:val="ListBullet"/>
        <w:spacing w:after="60" w:line="259" w:lineRule="auto"/>
      </w:pPr>
      <w:r>
        <w:rPr>
          <w:rFonts w:ascii="Aptos" w:hAnsi="Aptos"/>
          <w:b w:val="0"/>
          <w:color w:val="000000"/>
          <w:sz w:val="20"/>
        </w:rPr>
        <w:t>Run the approved happy path first, then validation, no-match, source-error, plan-detail, and per-plan handoff scenarios.</w:t>
      </w:r>
    </w:p>
    <w:p>
      <w:pPr>
        <w:pStyle w:val="ListBullet"/>
        <w:spacing w:after="60" w:line="259" w:lineRule="auto"/>
      </w:pPr>
      <w:r>
        <w:rPr>
          <w:rFonts w:ascii="Aptos" w:hAnsi="Aptos"/>
          <w:b w:val="0"/>
          <w:color w:val="000000"/>
          <w:sz w:val="20"/>
        </w:rPr>
        <w:t>Use the Excel tracker as the record of execution. Record one outcome per case, actual behavior, evidence location, and defect ID when applicable.</w:t>
      </w:r>
    </w:p>
    <w:p>
      <w:pPr>
        <w:pStyle w:val="ListBullet"/>
        <w:spacing w:after="60" w:line="259" w:lineRule="auto"/>
      </w:pPr>
      <w:r>
        <w:rPr>
          <w:rFonts w:ascii="Aptos" w:hAnsi="Aptos"/>
          <w:b w:val="0"/>
          <w:color w:val="000000"/>
          <w:sz w:val="20"/>
        </w:rPr>
        <w:t>Use the data owner’s test records and compare displayed data with the approved expected values. Confirm plan identity and associated destinations across at least two different plans.</w:t>
      </w:r>
    </w:p>
    <w:p>
      <w:pPr>
        <w:pStyle w:val="ListBullet"/>
        <w:spacing w:after="60" w:line="259" w:lineRule="auto"/>
      </w:pPr>
      <w:r>
        <w:rPr>
          <w:rFonts w:ascii="Aptos" w:hAnsi="Aptos"/>
          <w:b w:val="0"/>
          <w:color w:val="000000"/>
          <w:sz w:val="20"/>
        </w:rPr>
        <w:t>Retest failed cases after a fix and run the affected regression cases. Retain original failed outcome and record retest outcome/evidence in the tracker notes or defect tool.</w:t>
      </w:r>
    </w:p>
    <w:p>
      <w:pPr>
        <w:pStyle w:val="ListBullet"/>
        <w:spacing w:after="60" w:line="259" w:lineRule="auto"/>
      </w:pPr>
      <w:r>
        <w:rPr>
          <w:rFonts w:ascii="Aptos" w:hAnsi="Aptos"/>
          <w:b w:val="0"/>
          <w:color w:val="000000"/>
          <w:sz w:val="20"/>
        </w:rPr>
        <w:t>Cases that depend on unresolved decisions remain “Blocked” or “Not Started”; do not infer expected behavior during the test session.</w:t>
      </w:r>
    </w:p>
    <w:p>
      <w:pPr>
        <w:pStyle w:val="Heading1"/>
        <w:keepNext/>
        <w:spacing w:before="240" w:after="100"/>
      </w:pPr>
      <w:r>
        <w:rPr>
          <w:rFonts w:ascii="Aptos" w:hAnsi="Aptos"/>
          <w:b/>
          <w:color w:val="000000"/>
          <w:sz w:val="30"/>
        </w:rPr>
        <w:t>6. Test coverage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4"/>
        <w:gridCol w:w="4874"/>
      </w:tblGrid>
      <w:tr>
        <w:trPr>
          <w:cantSplit/>
          <w:tblHeader/>
        </w:trPr>
        <w:tc>
          <w:tcPr>
            <w:tcW w:type="dxa" w:w="2160"/>
            <w:vAlign w:val="center"/>
            <w:tcMar>
              <w:top w:w="90" w:type="dxa"/>
              <w:start w:w="100" w:type="dxa"/>
              <w:bottom w:w="90" w:type="dxa"/>
              <w:end w:w="100" w:type="dxa"/>
            </w:tcMar>
            <w:shd w:fill="173B56"/>
          </w:tcPr>
          <w:p>
            <w:pPr>
              <w:spacing w:after="0" w:line="250" w:lineRule="auto"/>
            </w:pPr>
            <w:r/>
            <w:r>
              <w:rPr>
                <w:rFonts w:ascii="Aptos" w:hAnsi="Aptos"/>
                <w:b/>
                <w:color w:val="FFFFFF"/>
                <w:sz w:val="18"/>
              </w:rPr>
              <w:t>Case range</w:t>
            </w:r>
          </w:p>
        </w:tc>
        <w:tc>
          <w:tcPr>
            <w:tcW w:type="dxa" w:w="7344"/>
            <w:vAlign w:val="center"/>
            <w:tcMar>
              <w:top w:w="90" w:type="dxa"/>
              <w:start w:w="100" w:type="dxa"/>
              <w:bottom w:w="90" w:type="dxa"/>
              <w:end w:w="100" w:type="dxa"/>
            </w:tcMar>
            <w:shd w:fill="173B56"/>
          </w:tcPr>
          <w:p>
            <w:pPr>
              <w:spacing w:after="0" w:line="250" w:lineRule="auto"/>
            </w:pPr>
            <w:r/>
            <w:r>
              <w:rPr>
                <w:rFonts w:ascii="Aptos" w:hAnsi="Aptos"/>
                <w:b/>
                <w:color w:val="FFFFFF"/>
                <w:sz w:val="18"/>
              </w:rPr>
              <w:t>Coverage</w:t>
            </w:r>
          </w:p>
        </w:tc>
      </w:tr>
      <w:tr>
        <w:trPr>
          <w:cantSplit/>
        </w:trPr>
        <w:tc>
          <w:tcPr>
            <w:tcW w:type="dxa" w:w="2160"/>
            <w:vAlign w:val="center"/>
            <w:tcMar>
              <w:top w:w="90" w:type="dxa"/>
              <w:start w:w="100" w:type="dxa"/>
              <w:bottom w:w="90" w:type="dxa"/>
              <w:end w:w="100" w:type="dxa"/>
            </w:tcMar>
          </w:tcPr>
          <w:p>
            <w:pPr>
              <w:spacing w:after="0" w:line="250" w:lineRule="auto"/>
            </w:pPr>
            <w:r/>
            <w:r>
              <w:rPr>
                <w:rFonts w:ascii="Aptos" w:hAnsi="Aptos"/>
                <w:b w:val="0"/>
                <w:color w:val="000000"/>
                <w:sz w:val="17"/>
              </w:rPr>
              <w:t>UAT-01 to UAT-05</w:t>
            </w:r>
          </w:p>
        </w:tc>
        <w:tc>
          <w:tcPr>
            <w:tcW w:type="dxa" w:w="7344"/>
            <w:vAlign w:val="center"/>
            <w:tcMar>
              <w:top w:w="90" w:type="dxa"/>
              <w:start w:w="100" w:type="dxa"/>
              <w:bottom w:w="90" w:type="dxa"/>
              <w:end w:w="100" w:type="dxa"/>
            </w:tcMar>
          </w:tcPr>
          <w:p>
            <w:pPr>
              <w:spacing w:after="0" w:line="250" w:lineRule="auto"/>
            </w:pPr>
            <w:r/>
            <w:r>
              <w:rPr>
                <w:rFonts w:ascii="Aptos" w:hAnsi="Aptos"/>
                <w:b w:val="0"/>
                <w:color w:val="000000"/>
                <w:sz w:val="17"/>
              </w:rPr>
              <w:t>Entry, mandatory geography, and location selector rules</w:t>
            </w:r>
          </w:p>
        </w:tc>
      </w:tr>
      <w:tr>
        <w:trPr>
          <w:cantSplit/>
        </w:trPr>
        <w:tc>
          <w:tcPr>
            <w:tcW w:type="dxa" w:w="216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UAT-06 to UAT-08</w:t>
            </w:r>
          </w:p>
        </w:tc>
        <w:tc>
          <w:tcPr>
            <w:tcW w:type="dxa" w:w="734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Plan-type values, essential-benefit multi-select, and matching semantics</w:t>
            </w:r>
          </w:p>
        </w:tc>
      </w:tr>
      <w:tr>
        <w:trPr>
          <w:cantSplit/>
        </w:trPr>
        <w:tc>
          <w:tcPr>
            <w:tcW w:type="dxa" w:w="2160"/>
            <w:vAlign w:val="center"/>
            <w:tcMar>
              <w:top w:w="90" w:type="dxa"/>
              <w:start w:w="100" w:type="dxa"/>
              <w:bottom w:w="90" w:type="dxa"/>
              <w:end w:w="100" w:type="dxa"/>
            </w:tcMar>
          </w:tcPr>
          <w:p>
            <w:pPr>
              <w:spacing w:after="0" w:line="250" w:lineRule="auto"/>
            </w:pPr>
            <w:r/>
            <w:r>
              <w:rPr>
                <w:rFonts w:ascii="Aptos" w:hAnsi="Aptos"/>
                <w:b w:val="0"/>
                <w:color w:val="000000"/>
                <w:sz w:val="17"/>
              </w:rPr>
              <w:t>UAT-09 to UAT-15</w:t>
            </w:r>
          </w:p>
        </w:tc>
        <w:tc>
          <w:tcPr>
            <w:tcW w:type="dxa" w:w="7344"/>
            <w:vAlign w:val="center"/>
            <w:tcMar>
              <w:top w:w="90" w:type="dxa"/>
              <w:start w:w="100" w:type="dxa"/>
              <w:bottom w:w="90" w:type="dxa"/>
              <w:end w:w="100" w:type="dxa"/>
            </w:tcMar>
          </w:tcPr>
          <w:p>
            <w:pPr>
              <w:spacing w:after="0" w:line="250" w:lineRule="auto"/>
            </w:pPr>
            <w:r/>
            <w:r>
              <w:rPr>
                <w:rFonts w:ascii="Aptos" w:hAnsi="Aptos"/>
                <w:b w:val="0"/>
                <w:color w:val="000000"/>
                <w:sz w:val="17"/>
              </w:rPr>
              <w:t>Search request, result mapping, details, no-match, source failure, malformed response, retry and duplicate-submit behavior</w:t>
            </w:r>
          </w:p>
        </w:tc>
      </w:tr>
      <w:tr>
        <w:trPr>
          <w:cantSplit/>
        </w:trPr>
        <w:tc>
          <w:tcPr>
            <w:tcW w:type="dxa" w:w="216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UAT-16 to UAT-21</w:t>
            </w:r>
          </w:p>
        </w:tc>
        <w:tc>
          <w:tcPr>
            <w:tcW w:type="dxa" w:w="734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Plan-specific phone and enrollment links, device cancel/return, invalid destinations, and module boundary</w:t>
            </w:r>
          </w:p>
        </w:tc>
      </w:tr>
      <w:tr>
        <w:trPr>
          <w:cantSplit/>
        </w:trPr>
        <w:tc>
          <w:tcPr>
            <w:tcW w:type="dxa" w:w="2160"/>
            <w:vAlign w:val="center"/>
            <w:tcMar>
              <w:top w:w="90" w:type="dxa"/>
              <w:start w:w="100" w:type="dxa"/>
              <w:bottom w:w="90" w:type="dxa"/>
              <w:end w:w="100" w:type="dxa"/>
            </w:tcMar>
          </w:tcPr>
          <w:p>
            <w:pPr>
              <w:spacing w:after="0" w:line="250" w:lineRule="auto"/>
            </w:pPr>
            <w:r/>
            <w:r>
              <w:rPr>
                <w:rFonts w:ascii="Aptos" w:hAnsi="Aptos"/>
                <w:b w:val="0"/>
                <w:color w:val="000000"/>
                <w:sz w:val="17"/>
              </w:rPr>
              <w:t>UAT-22 to UAT-26</w:t>
            </w:r>
          </w:p>
        </w:tc>
        <w:tc>
          <w:tcPr>
            <w:tcW w:type="dxa" w:w="7344"/>
            <w:vAlign w:val="center"/>
            <w:tcMar>
              <w:top w:w="90" w:type="dxa"/>
              <w:start w:w="100" w:type="dxa"/>
              <w:bottom w:w="90" w:type="dxa"/>
              <w:end w:w="100" w:type="dxa"/>
            </w:tcMar>
          </w:tcPr>
          <w:p>
            <w:pPr>
              <w:spacing w:after="0" w:line="250" w:lineRule="auto"/>
            </w:pPr>
            <w:r/>
            <w:r>
              <w:rPr>
                <w:rFonts w:ascii="Aptos" w:hAnsi="Aptos"/>
                <w:b w:val="0"/>
                <w:color w:val="000000"/>
                <w:sz w:val="17"/>
              </w:rPr>
              <w:t>Helpdesk boundary, accessibility, privacy/logging, supported devices, and analytics events</w:t>
            </w:r>
          </w:p>
        </w:tc>
      </w:tr>
    </w:tbl>
    <w:p>
      <w:pPr>
        <w:spacing w:after="20"/>
      </w:pPr>
    </w:p>
    <w:p>
      <w:pPr>
        <w:pStyle w:val="Heading1"/>
        <w:keepNext/>
        <w:spacing w:before="240" w:after="100"/>
      </w:pPr>
      <w:r>
        <w:rPr>
          <w:rFonts w:ascii="Aptos" w:hAnsi="Aptos"/>
          <w:b/>
          <w:color w:val="000000"/>
          <w:sz w:val="30"/>
        </w:rPr>
        <w:t>7. Exit criteria and acceptance</w:t>
      </w:r>
    </w:p>
    <w:p>
      <w:pPr>
        <w:pStyle w:val="ListBullet"/>
        <w:spacing w:after="60" w:line="259" w:lineRule="auto"/>
      </w:pPr>
      <w:r>
        <w:rPr>
          <w:rFonts w:ascii="Aptos" w:hAnsi="Aptos"/>
          <w:b w:val="0"/>
          <w:color w:val="000000"/>
          <w:sz w:val="20"/>
        </w:rPr>
        <w:t>All P0 cases pass, or the Product Owner records an explicit, time-bound waiver with impact and mitigation.</w:t>
      </w:r>
    </w:p>
    <w:p>
      <w:pPr>
        <w:pStyle w:val="ListBullet"/>
        <w:spacing w:after="60" w:line="259" w:lineRule="auto"/>
      </w:pPr>
      <w:r>
        <w:rPr>
          <w:rFonts w:ascii="Aptos" w:hAnsi="Aptos"/>
          <w:b w:val="0"/>
          <w:color w:val="000000"/>
          <w:sz w:val="20"/>
        </w:rPr>
        <w:t>No open Severity 1 or Severity 2 defects remain. Any lower-severity defect has an owner, disposition, and agreed release decision.</w:t>
      </w:r>
    </w:p>
    <w:p>
      <w:pPr>
        <w:pStyle w:val="ListBullet"/>
        <w:spacing w:after="60" w:line="259" w:lineRule="auto"/>
      </w:pPr>
      <w:r>
        <w:rPr>
          <w:rFonts w:ascii="Aptos" w:hAnsi="Aptos"/>
          <w:b w:val="0"/>
          <w:color w:val="000000"/>
          <w:sz w:val="20"/>
        </w:rPr>
        <w:t>All decision-dependent tests have approved expected results; unresolved tests are clearly blocked and are not counted as passed.</w:t>
      </w:r>
    </w:p>
    <w:p>
      <w:pPr>
        <w:pStyle w:val="ListBullet"/>
        <w:spacing w:after="60" w:line="259" w:lineRule="auto"/>
      </w:pPr>
      <w:r>
        <w:rPr>
          <w:rFonts w:ascii="Aptos" w:hAnsi="Aptos"/>
          <w:b w:val="0"/>
          <w:color w:val="000000"/>
          <w:sz w:val="20"/>
        </w:rPr>
        <w:t>Plan values shown to the member match approved source data. Phone and enrollment actions are associated only with the selected result.</w:t>
      </w:r>
    </w:p>
    <w:p>
      <w:pPr>
        <w:pStyle w:val="ListBullet"/>
        <w:spacing w:after="60" w:line="259" w:lineRule="auto"/>
      </w:pPr>
      <w:r>
        <w:rPr>
          <w:rFonts w:ascii="Aptos" w:hAnsi="Aptos"/>
          <w:b w:val="0"/>
          <w:color w:val="000000"/>
          <w:sz w:val="20"/>
        </w:rPr>
        <w:t>No in-scope enrollment page or completion behavior has been introduced.</w:t>
      </w:r>
    </w:p>
    <w:p>
      <w:pPr>
        <w:pStyle w:val="ListBullet"/>
        <w:spacing w:after="60" w:line="259" w:lineRule="auto"/>
      </w:pPr>
      <w:r>
        <w:rPr>
          <w:rFonts w:ascii="Aptos" w:hAnsi="Aptos"/>
          <w:b w:val="0"/>
          <w:color w:val="000000"/>
          <w:sz w:val="20"/>
        </w:rPr>
        <w:t>Product Owner and named business representatives complete the sign-off section after reviewing execution evidence and remaining risks.</w:t>
      </w:r>
    </w:p>
    <w:p>
      <w:pPr>
        <w:pStyle w:val="Heading1"/>
        <w:keepNext/>
        <w:spacing w:before="240" w:after="100"/>
      </w:pPr>
      <w:r>
        <w:rPr>
          <w:rFonts w:ascii="Aptos" w:hAnsi="Aptos"/>
          <w:b/>
          <w:color w:val="000000"/>
          <w:sz w:val="30"/>
        </w:rPr>
        <w:t>8. Defect severity guide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4"/>
        <w:gridCol w:w="4874"/>
      </w:tblGrid>
      <w:tr>
        <w:trPr>
          <w:cantSplit/>
          <w:tblHeader/>
        </w:trPr>
        <w:tc>
          <w:tcPr>
            <w:tcW w:type="dxa" w:w="1800"/>
            <w:vAlign w:val="center"/>
            <w:tcMar>
              <w:top w:w="90" w:type="dxa"/>
              <w:start w:w="100" w:type="dxa"/>
              <w:bottom w:w="90" w:type="dxa"/>
              <w:end w:w="100" w:type="dxa"/>
            </w:tcMar>
            <w:shd w:fill="173B56"/>
          </w:tcPr>
          <w:p>
            <w:pPr>
              <w:spacing w:after="0" w:line="250" w:lineRule="auto"/>
            </w:pPr>
            <w:r/>
            <w:r>
              <w:rPr>
                <w:rFonts w:ascii="Aptos" w:hAnsi="Aptos"/>
                <w:b/>
                <w:color w:val="FFFFFF"/>
                <w:sz w:val="18"/>
              </w:rPr>
              <w:t>Severity</w:t>
            </w:r>
          </w:p>
        </w:tc>
        <w:tc>
          <w:tcPr>
            <w:tcW w:type="dxa" w:w="7704"/>
            <w:vAlign w:val="center"/>
            <w:tcMar>
              <w:top w:w="90" w:type="dxa"/>
              <w:start w:w="100" w:type="dxa"/>
              <w:bottom w:w="90" w:type="dxa"/>
              <w:end w:w="100" w:type="dxa"/>
            </w:tcMar>
            <w:shd w:fill="173B56"/>
          </w:tcPr>
          <w:p>
            <w:pPr>
              <w:spacing w:after="0" w:line="250" w:lineRule="auto"/>
            </w:pPr>
            <w:r/>
            <w:r>
              <w:rPr>
                <w:rFonts w:ascii="Aptos" w:hAnsi="Aptos"/>
                <w:b/>
                <w:color w:val="FFFFFF"/>
                <w:sz w:val="18"/>
              </w:rPr>
              <w:t>Proposed meaning</w:t>
            </w:r>
          </w:p>
        </w:tc>
      </w:tr>
      <w:tr>
        <w:trPr>
          <w:cantSplit/>
        </w:trPr>
        <w:tc>
          <w:tcPr>
            <w:tcW w:type="dxa" w:w="1800"/>
            <w:vAlign w:val="center"/>
            <w:tcMar>
              <w:top w:w="90" w:type="dxa"/>
              <w:start w:w="100" w:type="dxa"/>
              <w:bottom w:w="90" w:type="dxa"/>
              <w:end w:w="100" w:type="dxa"/>
            </w:tcMar>
          </w:tcPr>
          <w:p>
            <w:pPr>
              <w:spacing w:after="0" w:line="250" w:lineRule="auto"/>
            </w:pPr>
            <w:r/>
            <w:r>
              <w:rPr>
                <w:rFonts w:ascii="Aptos" w:hAnsi="Aptos"/>
                <w:b w:val="0"/>
                <w:color w:val="000000"/>
                <w:sz w:val="17"/>
              </w:rPr>
              <w:t>S1 Critical</w:t>
            </w:r>
          </w:p>
        </w:tc>
        <w:tc>
          <w:tcPr>
            <w:tcW w:type="dxa" w:w="7704"/>
            <w:vAlign w:val="center"/>
            <w:tcMar>
              <w:top w:w="90" w:type="dxa"/>
              <w:start w:w="100" w:type="dxa"/>
              <w:bottom w:w="90" w:type="dxa"/>
              <w:end w:w="100" w:type="dxa"/>
            </w:tcMar>
          </w:tcPr>
          <w:p>
            <w:pPr>
              <w:spacing w:after="0" w:line="250" w:lineRule="auto"/>
            </w:pPr>
            <w:r/>
            <w:r>
              <w:rPr>
                <w:rFonts w:ascii="Aptos" w:hAnsi="Aptos"/>
                <w:b w:val="0"/>
                <w:color w:val="000000"/>
                <w:sz w:val="17"/>
              </w:rPr>
              <w:t>Core plan search cannot be completed, or a material data/link mismatch could direct a member to a different plan or destination.</w:t>
            </w:r>
          </w:p>
        </w:tc>
      </w:tr>
      <w:tr>
        <w:trPr>
          <w:cantSplit/>
        </w:trPr>
        <w:tc>
          <w:tcPr>
            <w:tcW w:type="dxa" w:w="180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S2 High</w:t>
            </w:r>
          </w:p>
        </w:tc>
        <w:tc>
          <w:tcPr>
            <w:tcW w:type="dxa" w:w="770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A key in-scope capability is unavailable or produces incorrect results without an acceptable workaround.</w:t>
            </w:r>
          </w:p>
        </w:tc>
      </w:tr>
      <w:tr>
        <w:trPr>
          <w:cantSplit/>
        </w:trPr>
        <w:tc>
          <w:tcPr>
            <w:tcW w:type="dxa" w:w="1800"/>
            <w:vAlign w:val="center"/>
            <w:tcMar>
              <w:top w:w="90" w:type="dxa"/>
              <w:start w:w="100" w:type="dxa"/>
              <w:bottom w:w="90" w:type="dxa"/>
              <w:end w:w="100" w:type="dxa"/>
            </w:tcMar>
          </w:tcPr>
          <w:p>
            <w:pPr>
              <w:spacing w:after="0" w:line="250" w:lineRule="auto"/>
            </w:pPr>
            <w:r/>
            <w:r>
              <w:rPr>
                <w:rFonts w:ascii="Aptos" w:hAnsi="Aptos"/>
                <w:b w:val="0"/>
                <w:color w:val="000000"/>
                <w:sz w:val="17"/>
              </w:rPr>
              <w:t>S3 Medium</w:t>
            </w:r>
          </w:p>
        </w:tc>
        <w:tc>
          <w:tcPr>
            <w:tcW w:type="dxa" w:w="7704"/>
            <w:vAlign w:val="center"/>
            <w:tcMar>
              <w:top w:w="90" w:type="dxa"/>
              <w:start w:w="100" w:type="dxa"/>
              <w:bottom w:w="90" w:type="dxa"/>
              <w:end w:w="100" w:type="dxa"/>
            </w:tcMar>
          </w:tcPr>
          <w:p>
            <w:pPr>
              <w:spacing w:after="0" w:line="250" w:lineRule="auto"/>
            </w:pPr>
            <w:r/>
            <w:r>
              <w:rPr>
                <w:rFonts w:ascii="Aptos" w:hAnsi="Aptos"/>
                <w:b w:val="0"/>
                <w:color w:val="000000"/>
                <w:sz w:val="17"/>
              </w:rPr>
              <w:t>A non-critical behavior is incorrect but a safe, documented workaround exists.</w:t>
            </w:r>
          </w:p>
        </w:tc>
      </w:tr>
      <w:tr>
        <w:trPr>
          <w:cantSplit/>
        </w:trPr>
        <w:tc>
          <w:tcPr>
            <w:tcW w:type="dxa" w:w="180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S4 Low</w:t>
            </w:r>
          </w:p>
        </w:tc>
        <w:tc>
          <w:tcPr>
            <w:tcW w:type="dxa" w:w="770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Cosmetic or minor usability issue that does not change the outcome or prevent task completion.</w:t>
            </w:r>
          </w:p>
        </w:tc>
      </w:tr>
    </w:tbl>
    <w:p>
      <w:pPr>
        <w:spacing w:after="20"/>
      </w:pPr>
    </w:p>
    <w:p>
      <w:pPr>
        <w:spacing w:after="100" w:line="269" w:lineRule="auto"/>
      </w:pPr>
      <w:r>
        <w:rPr>
          <w:rFonts w:ascii="Aptos" w:hAnsi="Aptos"/>
          <w:b w:val="0"/>
          <w:i/>
          <w:color w:val="536472"/>
          <w:sz w:val="18"/>
        </w:rPr>
        <w:t>Confirm these severity definitions with the project team before execution.</w:t>
      </w:r>
    </w:p>
    <w:p>
      <w:pPr>
        <w:pStyle w:val="Heading1"/>
        <w:keepNext/>
        <w:spacing w:before="240" w:after="100"/>
      </w:pPr>
      <w:r>
        <w:rPr>
          <w:rFonts w:ascii="Aptos" w:hAnsi="Aptos"/>
          <w:b/>
          <w:color w:val="000000"/>
          <w:sz w:val="30"/>
        </w:rPr>
        <w:t>9. Sign-off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7"/>
        <w:gridCol w:w="2437"/>
        <w:gridCol w:w="2437"/>
        <w:gridCol w:w="2437"/>
      </w:tblGrid>
      <w:tr>
        <w:trPr>
          <w:cantSplit/>
          <w:tblHeader/>
        </w:trPr>
        <w:tc>
          <w:tcPr>
            <w:tcW w:type="dxa" w:w="2232"/>
            <w:vAlign w:val="center"/>
            <w:tcMar>
              <w:top w:w="90" w:type="dxa"/>
              <w:start w:w="100" w:type="dxa"/>
              <w:bottom w:w="90" w:type="dxa"/>
              <w:end w:w="100" w:type="dxa"/>
            </w:tcMar>
            <w:shd w:fill="173B56"/>
          </w:tcPr>
          <w:p>
            <w:pPr>
              <w:spacing w:after="0" w:line="250" w:lineRule="auto"/>
            </w:pPr>
            <w:r/>
            <w:r>
              <w:rPr>
                <w:rFonts w:ascii="Aptos" w:hAnsi="Aptos"/>
                <w:b/>
                <w:color w:val="FFFFFF"/>
                <w:sz w:val="18"/>
              </w:rPr>
              <w:t>Approver</w:t>
            </w:r>
          </w:p>
        </w:tc>
        <w:tc>
          <w:tcPr>
            <w:tcW w:type="dxa" w:w="2088"/>
            <w:vAlign w:val="center"/>
            <w:tcMar>
              <w:top w:w="90" w:type="dxa"/>
              <w:start w:w="100" w:type="dxa"/>
              <w:bottom w:w="90" w:type="dxa"/>
              <w:end w:w="100" w:type="dxa"/>
            </w:tcMar>
            <w:shd w:fill="173B56"/>
          </w:tcPr>
          <w:p>
            <w:pPr>
              <w:spacing w:after="0" w:line="250" w:lineRule="auto"/>
            </w:pPr>
            <w:r/>
            <w:r>
              <w:rPr>
                <w:rFonts w:ascii="Aptos" w:hAnsi="Aptos"/>
                <w:b/>
                <w:color w:val="FFFFFF"/>
                <w:sz w:val="18"/>
              </w:rPr>
              <w:t>Name</w:t>
            </w:r>
          </w:p>
        </w:tc>
        <w:tc>
          <w:tcPr>
            <w:tcW w:type="dxa" w:w="3960"/>
            <w:vAlign w:val="center"/>
            <w:tcMar>
              <w:top w:w="90" w:type="dxa"/>
              <w:start w:w="100" w:type="dxa"/>
              <w:bottom w:w="90" w:type="dxa"/>
              <w:end w:w="100" w:type="dxa"/>
            </w:tcMar>
            <w:shd w:fill="173B56"/>
          </w:tcPr>
          <w:p>
            <w:pPr>
              <w:spacing w:after="0" w:line="250" w:lineRule="auto"/>
            </w:pPr>
            <w:r/>
            <w:r>
              <w:rPr>
                <w:rFonts w:ascii="Aptos" w:hAnsi="Aptos"/>
                <w:b/>
                <w:color w:val="FFFFFF"/>
                <w:sz w:val="18"/>
              </w:rPr>
              <w:t>Decision / comments</w:t>
            </w:r>
          </w:p>
        </w:tc>
        <w:tc>
          <w:tcPr>
            <w:tcW w:type="dxa" w:w="1224"/>
            <w:vAlign w:val="center"/>
            <w:tcMar>
              <w:top w:w="90" w:type="dxa"/>
              <w:start w:w="100" w:type="dxa"/>
              <w:bottom w:w="90" w:type="dxa"/>
              <w:end w:w="100" w:type="dxa"/>
            </w:tcMar>
            <w:shd w:fill="173B56"/>
          </w:tcPr>
          <w:p>
            <w:pPr>
              <w:spacing w:after="0" w:line="250" w:lineRule="auto"/>
            </w:pPr>
            <w:r/>
            <w:r>
              <w:rPr>
                <w:rFonts w:ascii="Aptos" w:hAnsi="Aptos"/>
                <w:b/>
                <w:color w:val="FFFFFF"/>
                <w:sz w:val="18"/>
              </w:rPr>
              <w:t>Date</w:t>
            </w:r>
          </w:p>
        </w:tc>
      </w:tr>
      <w:tr>
        <w:trPr>
          <w:cantSplit/>
        </w:trPr>
        <w:tc>
          <w:tcPr>
            <w:tcW w:type="dxa" w:w="2232"/>
            <w:vAlign w:val="center"/>
            <w:tcMar>
              <w:top w:w="90" w:type="dxa"/>
              <w:start w:w="100" w:type="dxa"/>
              <w:bottom w:w="90" w:type="dxa"/>
              <w:end w:w="100" w:type="dxa"/>
            </w:tcMar>
          </w:tcPr>
          <w:p>
            <w:pPr>
              <w:spacing w:after="0" w:line="250" w:lineRule="auto"/>
            </w:pPr>
            <w:r/>
            <w:r>
              <w:rPr>
                <w:rFonts w:ascii="Aptos" w:hAnsi="Aptos"/>
                <w:b w:val="0"/>
                <w:color w:val="000000"/>
                <w:sz w:val="17"/>
              </w:rPr>
              <w:t>Product Owner</w:t>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000000"/>
                <w:sz w:val="17"/>
              </w:rPr>
            </w:r>
          </w:p>
        </w:tc>
        <w:tc>
          <w:tcPr>
            <w:tcW w:type="dxa" w:w="3960"/>
            <w:vAlign w:val="center"/>
            <w:tcMar>
              <w:top w:w="90" w:type="dxa"/>
              <w:start w:w="100" w:type="dxa"/>
              <w:bottom w:w="90" w:type="dxa"/>
              <w:end w:w="100" w:type="dxa"/>
            </w:tcMar>
          </w:tcPr>
          <w:p>
            <w:pPr>
              <w:spacing w:after="0" w:line="250" w:lineRule="auto"/>
            </w:pPr>
            <w:r/>
            <w:r>
              <w:rPr>
                <w:rFonts w:ascii="Aptos" w:hAnsi="Aptos"/>
                <w:b w:val="0"/>
                <w:color w:val="000000"/>
                <w:sz w:val="17"/>
              </w:rPr>
            </w:r>
          </w:p>
        </w:tc>
        <w:tc>
          <w:tcPr>
            <w:tcW w:type="dxa" w:w="1224"/>
            <w:vAlign w:val="center"/>
            <w:tcMar>
              <w:top w:w="90" w:type="dxa"/>
              <w:start w:w="100" w:type="dxa"/>
              <w:bottom w:w="90" w:type="dxa"/>
              <w:end w:w="100" w:type="dxa"/>
            </w:tcMar>
          </w:tcPr>
          <w:p>
            <w:pPr>
              <w:spacing w:after="0" w:line="250" w:lineRule="auto"/>
            </w:pPr>
            <w:r/>
            <w:r>
              <w:rPr>
                <w:rFonts w:ascii="Aptos" w:hAnsi="Aptos"/>
                <w:b w:val="0"/>
                <w:color w:val="000000"/>
                <w:sz w:val="17"/>
              </w:rPr>
            </w:r>
          </w:p>
        </w:tc>
      </w:tr>
      <w:tr>
        <w:trPr>
          <w:cantSplit/>
        </w:trPr>
        <w:tc>
          <w:tcPr>
            <w:tcW w:type="dxa" w:w="223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Business representative</w:t>
            </w:r>
          </w:p>
        </w:tc>
        <w:tc>
          <w:tcPr>
            <w:tcW w:type="dxa" w:w="2088"/>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r>
          </w:p>
        </w:tc>
        <w:tc>
          <w:tcPr>
            <w:tcW w:type="dxa" w:w="396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r>
          </w:p>
        </w:tc>
        <w:tc>
          <w:tcPr>
            <w:tcW w:type="dxa" w:w="122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r>
          </w:p>
        </w:tc>
      </w:tr>
      <w:tr>
        <w:trPr>
          <w:cantSplit/>
        </w:trPr>
        <w:tc>
          <w:tcPr>
            <w:tcW w:type="dxa" w:w="2232"/>
            <w:vAlign w:val="center"/>
            <w:tcMar>
              <w:top w:w="90" w:type="dxa"/>
              <w:start w:w="100" w:type="dxa"/>
              <w:bottom w:w="90" w:type="dxa"/>
              <w:end w:w="100" w:type="dxa"/>
            </w:tcMar>
          </w:tcPr>
          <w:p>
            <w:pPr>
              <w:spacing w:after="0" w:line="250" w:lineRule="auto"/>
            </w:pPr>
            <w:r/>
            <w:r>
              <w:rPr>
                <w:rFonts w:ascii="Aptos" w:hAnsi="Aptos"/>
                <w:b w:val="0"/>
                <w:color w:val="000000"/>
                <w:sz w:val="17"/>
              </w:rPr>
              <w:t>UAT coordinator</w:t>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000000"/>
                <w:sz w:val="17"/>
              </w:rPr>
            </w:r>
          </w:p>
        </w:tc>
        <w:tc>
          <w:tcPr>
            <w:tcW w:type="dxa" w:w="3960"/>
            <w:vAlign w:val="center"/>
            <w:tcMar>
              <w:top w:w="90" w:type="dxa"/>
              <w:start w:w="100" w:type="dxa"/>
              <w:bottom w:w="90" w:type="dxa"/>
              <w:end w:w="100" w:type="dxa"/>
            </w:tcMar>
          </w:tcPr>
          <w:p>
            <w:pPr>
              <w:spacing w:after="0" w:line="250" w:lineRule="auto"/>
            </w:pPr>
            <w:r/>
            <w:r>
              <w:rPr>
                <w:rFonts w:ascii="Aptos" w:hAnsi="Aptos"/>
                <w:b w:val="0"/>
                <w:color w:val="000000"/>
                <w:sz w:val="17"/>
              </w:rPr>
            </w:r>
          </w:p>
        </w:tc>
        <w:tc>
          <w:tcPr>
            <w:tcW w:type="dxa" w:w="1224"/>
            <w:vAlign w:val="center"/>
            <w:tcMar>
              <w:top w:w="90" w:type="dxa"/>
              <w:start w:w="100" w:type="dxa"/>
              <w:bottom w:w="90" w:type="dxa"/>
              <w:end w:w="100" w:type="dxa"/>
            </w:tcMar>
          </w:tcPr>
          <w:p>
            <w:pPr>
              <w:spacing w:after="0" w:line="250" w:lineRule="auto"/>
            </w:pPr>
            <w:r/>
            <w:r>
              <w:rPr>
                <w:rFonts w:ascii="Aptos" w:hAnsi="Aptos"/>
                <w:b w:val="0"/>
                <w:color w:val="000000"/>
                <w:sz w:val="17"/>
              </w:rPr>
            </w:r>
          </w:p>
        </w:tc>
      </w:tr>
      <w:tr>
        <w:trPr>
          <w:cantSplit/>
        </w:trPr>
        <w:tc>
          <w:tcPr>
            <w:tcW w:type="dxa" w:w="2232"/>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t>QA lead</w:t>
            </w:r>
          </w:p>
        </w:tc>
        <w:tc>
          <w:tcPr>
            <w:tcW w:type="dxa" w:w="2088"/>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r>
          </w:p>
        </w:tc>
        <w:tc>
          <w:tcPr>
            <w:tcW w:type="dxa" w:w="3960"/>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r>
          </w:p>
        </w:tc>
        <w:tc>
          <w:tcPr>
            <w:tcW w:type="dxa" w:w="1224"/>
            <w:vAlign w:val="center"/>
            <w:tcMar>
              <w:top w:w="90" w:type="dxa"/>
              <w:start w:w="100" w:type="dxa"/>
              <w:bottom w:w="90" w:type="dxa"/>
              <w:end w:w="100" w:type="dxa"/>
            </w:tcMar>
            <w:shd w:fill="F3F6F8"/>
          </w:tcPr>
          <w:p>
            <w:pPr>
              <w:spacing w:after="0" w:line="250" w:lineRule="auto"/>
            </w:pPr>
            <w:r/>
            <w:r>
              <w:rPr>
                <w:rFonts w:ascii="Aptos" w:hAnsi="Aptos"/>
                <w:b w:val="0"/>
                <w:color w:val="000000"/>
                <w:sz w:val="17"/>
              </w:rPr>
            </w:r>
          </w:p>
        </w:tc>
      </w:tr>
    </w:tbl>
    <w:p>
      <w:pPr>
        <w:spacing w:after="20"/>
      </w:pPr>
    </w:p>
    <w:p>
      <w:pPr>
        <w:spacing w:after="0" w:line="269" w:lineRule="auto"/>
      </w:pPr>
      <w:r>
        <w:rPr>
          <w:rFonts w:ascii="Aptos" w:hAnsi="Aptos"/>
          <w:b w:val="0"/>
          <w:i/>
          <w:color w:val="536472"/>
          <w:sz w:val="18"/>
        </w:rPr>
        <w:t>Baseline references: Aster Health BRD v0.1, PRD v0.1, FRD v0.1, SRS v0.1, Plan Search BPMN As-Is/To-Be, Gap Analysis v0.1, and Solution Mapping v0.1.</w:t>
      </w:r>
    </w:p>
    <w:sectPr w:rsidR="00FC693F" w:rsidRPr="0006063C" w:rsidSect="00034616">
      <w:headerReference w:type="default" r:id="rId9"/>
      <w:footerReference w:type="default" r:id="rId10"/>
      <w:pgSz w:w="11909"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36472"/>
        <w:sz w:val="16"/>
      </w:rPr>
      <w:t xml:space="preserve">Plan Search and Selection  •  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472"/>
        <w:sz w:val="16"/>
      </w:rPr>
      <w:t>ASTER HEALTH  |  USER ACCEPTANCE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 Health User Acceptance Test Plan</dc:title>
  <dc:subject>Plan Search and Selection UAT</dc:subject>
  <dc:creator>Aster Health BA project</dc:creator>
  <cp:keywords>UAT, acceptance testing, Aster Health, plan search</cp:keywords>
  <dc:description>generated by python-docx</dc:description>
  <cp:lastModifiedBy/>
  <cp:revision>1</cp:revision>
  <dcterms:created xsi:type="dcterms:W3CDTF">2013-12-23T23:15:00Z</dcterms:created>
  <dcterms:modified xsi:type="dcterms:W3CDTF">2013-12-23T23:15:00Z</dcterms:modified>
  <cp:category/>
</cp:coreProperties>
</file>