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Uttarakhand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Almora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Bageshwar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87.50%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12.50%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Champawat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Dehradun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Pithoragarh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95.91%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4.09%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99.55%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0.45%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99.09%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0.91%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91.82%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8.18%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86.36%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13.64%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"http://10.248.218.50/ReportServer?%2FSoilHealthManagement%2FSubDistrictMicroNS&amp;State_Code=5&amp;District_Code=-1&amp;cycleid=3&amp;rs%3AParameterLanguage="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Uttar Kashi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