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003366"/>
          <w:sz w:val="32"/>
        </w:rPr>
        <w:t>Project Synopsis — Submission Template</w:t>
        <w:br/>
      </w:r>
      <w:r>
        <w:rPr>
          <w:rFonts w:ascii="Segoe UI" w:hAnsi="Segoe UI"/>
          <w:b/>
          <w:color w:val="006699"/>
          <w:sz w:val="22"/>
        </w:rPr>
        <w:t>HCLTech Career Shaper Programme  |  2026–27</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003366"/>
          </w:tcPr>
          <w:p>
            <w:r>
              <w:rPr>
                <w:b/>
                <w:color w:val="FFFFFF"/>
              </w:rPr>
              <w:t>Field</w:t>
            </w:r>
          </w:p>
        </w:tc>
        <w:tc>
          <w:tcPr>
            <w:tcW w:type="dxa" w:w="5040"/>
            <w:shd w:val="clear" w:color="auto" w:fill="003366"/>
          </w:tcPr>
          <w:p>
            <w:r>
              <w:rPr>
                <w:b/>
                <w:color w:val="FFFFFF"/>
              </w:rPr>
              <w:t>Details (Learner to complete)</w:t>
            </w:r>
          </w:p>
        </w:tc>
      </w:tr>
      <w:tr>
        <w:tc>
          <w:tcPr>
            <w:tcW w:type="dxa" w:w="5040"/>
            <w:shd w:val="clear" w:color="auto" w:fill="F7FAFC"/>
          </w:tcPr>
          <w:p>
            <w:r>
              <w:rPr>
                <w:rFonts w:ascii="Segoe UI" w:hAnsi="Segoe UI"/>
                <w:b/>
                <w:color w:val="003366"/>
                <w:sz w:val="19"/>
              </w:rPr>
              <w:t>Project Title</w:t>
            </w:r>
          </w:p>
        </w:tc>
        <w:tc>
          <w:tcPr>
            <w:tcW w:type="dxa" w:w="5040"/>
          </w:tcPr>
          <w:p>
            <w:r>
              <w:rPr>
                <w:rFonts w:ascii="Segoe UI" w:hAnsi="Segoe UI"/>
                <w:color w:val="1A202C"/>
                <w:sz w:val="19"/>
              </w:rPr>
              <w:t>AI-Powered Chatbot for University Student Support</w:t>
            </w:r>
          </w:p>
        </w:tc>
      </w:tr>
      <w:tr>
        <w:tc>
          <w:tcPr>
            <w:tcW w:type="dxa" w:w="5040"/>
            <w:shd w:val="clear" w:color="auto" w:fill="F7FAFC"/>
          </w:tcPr>
          <w:p>
            <w:r>
              <w:rPr>
                <w:rFonts w:ascii="Segoe UI" w:hAnsi="Segoe UI"/>
                <w:b/>
                <w:color w:val="003366"/>
                <w:sz w:val="19"/>
              </w:rPr>
              <w:t>Domain</w:t>
            </w:r>
          </w:p>
        </w:tc>
        <w:tc>
          <w:tcPr>
            <w:tcW w:type="dxa" w:w="5040"/>
          </w:tcPr>
          <w:p>
            <w:r>
              <w:rPr>
                <w:rFonts w:ascii="Segoe UI" w:hAnsi="Segoe UI"/>
                <w:color w:val="1A202C"/>
                <w:sz w:val="19"/>
              </w:rPr>
              <w:t>Digital-Data-AI / AIML</w:t>
            </w:r>
          </w:p>
        </w:tc>
      </w:tr>
      <w:tr>
        <w:tc>
          <w:tcPr>
            <w:tcW w:type="dxa" w:w="5040"/>
            <w:shd w:val="clear" w:color="auto" w:fill="F7FAFC"/>
          </w:tcPr>
          <w:p>
            <w:r>
              <w:rPr>
                <w:rFonts w:ascii="Segoe UI" w:hAnsi="Segoe UI"/>
                <w:b/>
                <w:color w:val="003366"/>
                <w:sz w:val="19"/>
              </w:rPr>
              <w:t>Duration</w:t>
            </w:r>
          </w:p>
        </w:tc>
        <w:tc>
          <w:tcPr>
            <w:tcW w:type="dxa" w:w="5040"/>
          </w:tcPr>
          <w:p>
            <w:r>
              <w:rPr>
                <w:rFonts w:ascii="Segoe UI" w:hAnsi="Segoe UI"/>
                <w:color w:val="1A202C"/>
                <w:sz w:val="19"/>
              </w:rPr>
              <w:t>4 Weeks</w:t>
            </w:r>
          </w:p>
        </w:tc>
      </w:tr>
      <w:tr>
        <w:tc>
          <w:tcPr>
            <w:tcW w:type="dxa" w:w="5040"/>
            <w:shd w:val="clear" w:color="auto" w:fill="F7FAFC"/>
          </w:tcPr>
          <w:p>
            <w:r>
              <w:rPr>
                <w:rFonts w:ascii="Segoe UI" w:hAnsi="Segoe UI"/>
                <w:b/>
                <w:color w:val="003366"/>
                <w:sz w:val="19"/>
              </w:rPr>
              <w:t>Format</w:t>
            </w:r>
          </w:p>
        </w:tc>
        <w:tc>
          <w:tcPr>
            <w:tcW w:type="dxa" w:w="5040"/>
          </w:tcPr>
          <w:p>
            <w:r>
              <w:rPr>
                <w:rFonts w:ascii="Segoe UI" w:hAnsi="Segoe UI"/>
                <w:color w:val="1A202C"/>
                <w:sz w:val="19"/>
              </w:rPr>
              <w:t>Individual Project</w:t>
            </w:r>
          </w:p>
        </w:tc>
      </w:tr>
      <w:tr>
        <w:tc>
          <w:tcPr>
            <w:tcW w:type="dxa" w:w="5040"/>
            <w:shd w:val="clear" w:color="auto" w:fill="F7FAFC"/>
          </w:tcPr>
          <w:p>
            <w:r>
              <w:rPr>
                <w:rFonts w:ascii="Segoe UI" w:hAnsi="Segoe UI"/>
                <w:b/>
                <w:color w:val="003366"/>
                <w:sz w:val="19"/>
              </w:rPr>
              <w:t>Learner Name</w:t>
            </w:r>
          </w:p>
        </w:tc>
        <w:tc>
          <w:tcPr>
            <w:tcW w:type="dxa" w:w="5040"/>
          </w:tcPr>
          <w:p>
            <w:r>
              <w:rPr>
                <w:rFonts w:ascii="Segoe UI" w:hAnsi="Segoe UI"/>
                <w:color w:val="1A202C"/>
                <w:sz w:val="19"/>
              </w:rPr>
              <w:t>Yashika Gupta</w:t>
            </w:r>
          </w:p>
        </w:tc>
      </w:tr>
      <w:tr>
        <w:tc>
          <w:tcPr>
            <w:tcW w:type="dxa" w:w="5040"/>
            <w:shd w:val="clear" w:color="auto" w:fill="F7FAFC"/>
          </w:tcPr>
          <w:p>
            <w:r>
              <w:rPr>
                <w:rFonts w:ascii="Segoe UI" w:hAnsi="Segoe UI"/>
                <w:b/>
                <w:color w:val="003366"/>
                <w:sz w:val="19"/>
              </w:rPr>
              <w:t>Roll Number</w:t>
            </w:r>
          </w:p>
        </w:tc>
        <w:tc>
          <w:tcPr>
            <w:tcW w:type="dxa" w:w="5040"/>
          </w:tcPr>
          <w:p>
            <w:r>
              <w:rPr>
                <w:rFonts w:ascii="Segoe UI" w:hAnsi="Segoe UI"/>
                <w:color w:val="1A202C"/>
                <w:sz w:val="19"/>
              </w:rPr>
              <w:t>2300320150073</w:t>
            </w:r>
          </w:p>
        </w:tc>
      </w:tr>
      <w:tr>
        <w:tc>
          <w:tcPr>
            <w:tcW w:type="dxa" w:w="5040"/>
            <w:shd w:val="clear" w:color="auto" w:fill="F7FAFC"/>
          </w:tcPr>
          <w:p>
            <w:r>
              <w:rPr>
                <w:rFonts w:ascii="Segoe UI" w:hAnsi="Segoe UI"/>
                <w:b/>
                <w:color w:val="003366"/>
                <w:sz w:val="19"/>
              </w:rPr>
              <w:t>College / Campus</w:t>
            </w:r>
          </w:p>
        </w:tc>
        <w:tc>
          <w:tcPr>
            <w:tcW w:type="dxa" w:w="5040"/>
          </w:tcPr>
          <w:p>
            <w:r>
              <w:rPr>
                <w:rFonts w:ascii="Segoe UI" w:hAnsi="Segoe UI"/>
                <w:color w:val="1A202C"/>
                <w:sz w:val="19"/>
              </w:rPr>
              <w:t>ABES Engineering College</w:t>
            </w:r>
          </w:p>
        </w:tc>
      </w:tr>
      <w:tr>
        <w:tc>
          <w:tcPr>
            <w:tcW w:type="dxa" w:w="5040"/>
            <w:shd w:val="clear" w:color="auto" w:fill="F7FAFC"/>
          </w:tcPr>
          <w:p>
            <w:r>
              <w:rPr>
                <w:rFonts w:ascii="Segoe UI" w:hAnsi="Segoe UI"/>
                <w:b/>
                <w:color w:val="003366"/>
                <w:sz w:val="19"/>
              </w:rPr>
              <w:t>Mentor Name</w:t>
            </w:r>
          </w:p>
        </w:tc>
        <w:tc>
          <w:tcPr>
            <w:tcW w:type="dxa" w:w="5040"/>
          </w:tcPr>
          <w:p>
            <w:r>
              <w:rPr>
                <w:rFonts w:ascii="Segoe UI" w:hAnsi="Segoe UI"/>
                <w:color w:val="1A202C"/>
                <w:sz w:val="19"/>
              </w:rPr>
              <w:t>Dr. Anamika Goel</w:t>
            </w:r>
          </w:p>
        </w:tc>
      </w:tr>
      <w:tr>
        <w:tc>
          <w:tcPr>
            <w:tcW w:type="dxa" w:w="5040"/>
            <w:shd w:val="clear" w:color="auto" w:fill="F7FAFC"/>
          </w:tcPr>
          <w:p>
            <w:r>
              <w:rPr>
                <w:rFonts w:ascii="Segoe UI" w:hAnsi="Segoe UI"/>
                <w:b/>
                <w:color w:val="003366"/>
                <w:sz w:val="19"/>
              </w:rPr>
              <w:t>Submission Date</w:t>
            </w:r>
          </w:p>
        </w:tc>
        <w:tc>
          <w:tcPr>
            <w:tcW w:type="dxa" w:w="5040"/>
          </w:tcPr>
          <w:p>
            <w:r>
              <w:rPr>
                <w:rFonts w:ascii="Segoe UI" w:hAnsi="Segoe UI"/>
                <w:color w:val="1A202C"/>
                <w:sz w:val="19"/>
              </w:rPr>
              <w:t>25-10-2026</w:t>
            </w:r>
          </w:p>
        </w:tc>
      </w:tr>
      <w:tr>
        <w:tc>
          <w:tcPr>
            <w:tcW w:type="dxa" w:w="5040"/>
            <w:shd w:val="clear" w:color="auto" w:fill="F7FAFC"/>
          </w:tcPr>
          <w:p>
            <w:r>
              <w:rPr>
                <w:rFonts w:ascii="Segoe UI" w:hAnsi="Segoe UI"/>
                <w:b/>
                <w:color w:val="003366"/>
                <w:sz w:val="19"/>
              </w:rPr>
              <w:t>GitHub Repository</w:t>
            </w:r>
          </w:p>
        </w:tc>
        <w:tc>
          <w:tcPr>
            <w:tcW w:type="dxa" w:w="5040"/>
          </w:tcPr>
          <w:p>
            <w:r>
              <w:rPr>
                <w:rFonts w:ascii="Segoe UI" w:hAnsi="Segoe UI"/>
                <w:color w:val="005691"/>
                <w:sz w:val="19"/>
                <w:u w:val="single"/>
              </w:rPr>
              <w:t>https://github.com/Yashika-2468/AI-CHATBOT-PROJECT</w:t>
            </w:r>
          </w:p>
        </w:tc>
      </w:tr>
    </w:tbl>
    <w:p>
      <w:pPr>
        <w:spacing w:after="80"/>
      </w:pPr>
    </w:p>
    <w:p>
      <w:pPr>
        <w:spacing w:before="240" w:after="80"/>
      </w:pPr>
      <w:r>
        <w:rPr>
          <w:rFonts w:ascii="Segoe UI" w:hAnsi="Segoe UI"/>
          <w:b/>
          <w:color w:val="003366"/>
          <w:sz w:val="24"/>
        </w:rPr>
        <w:t>1. Problem Statement</w:t>
      </w:r>
    </w:p>
    <w:p>
      <w:pPr>
        <w:spacing w:after="80" w:line="288" w:lineRule="auto"/>
      </w:pPr>
      <w:r>
        <w:rPr>
          <w:rFonts w:ascii="Segoe UI" w:hAnsi="Segoe UI"/>
          <w:color w:val="1A202C"/>
          <w:sz w:val="19"/>
        </w:rPr>
        <w:t>University administration and support desks face massive enquiry surges during admission cycles, semester fee deadlines, and examinations. Over 70% of these queries are repetitive (e.g., fee amounts, hostel refund rules, HOD contacts, and syllabus downloads), resulting in prolonged wait times of 24 to 72 hours, severe administrative staff fatigue, and student anxiety. Human helpdesks operate only during standard office hours (9:00 AM – 5:00 PM), leaving evening and weekend inquiries completely unattended. This project resolves the problem by engineering an intelligent, self-contained AI chatbot available 24/7 with zero human intervention, capable of delivering instantaneous (&lt;15ms latency), verified university information while maintaining multi-turn conversational context and high-confidence fallback mechanisms.</w:t>
      </w:r>
    </w:p>
    <w:p>
      <w:pPr>
        <w:spacing w:before="240" w:after="80"/>
      </w:pPr>
      <w:r>
        <w:rPr>
          <w:rFonts w:ascii="Segoe UI" w:hAnsi="Segoe UI"/>
          <w:b/>
          <w:color w:val="003366"/>
          <w:sz w:val="24"/>
        </w:rPr>
        <w:t>2. Proposed Solution &amp; Approach</w:t>
      </w:r>
    </w:p>
    <w:p>
      <w:pPr>
        <w:spacing w:after="80" w:line="288" w:lineRule="auto"/>
      </w:pPr>
      <w:r>
        <w:rPr>
          <w:rFonts w:ascii="Segoe UI" w:hAnsi="Segoe UI"/>
          <w:color w:val="1A202C"/>
          <w:sz w:val="19"/>
        </w:rPr>
        <w:t>The solution delivers an automated, production-ready AI conversational assistant powered by a hybrid Natural Language Processing (NLP) pipeline and a calibrated Multi-Layer Perceptron (MLP) Neural Network classifier. The system extracts user intent using sublinear TF-IDF vectorization across word n-grams (1–3) and character n-grams (3–5), ensuring robust handling of typos, abbreviations, and informal Hindi-English student syntax. An entity extraction module automatically disambiguates department names (e.g., CSE, IT, ECE, ME) to dynamically route queries to specific Heads of Department (HODs). Multi-turn context is managed through an active state cache, and every interaction is persistently audited in a lightweight SQLite database for administrative analytics. The user interfaces include a responsive dual-theme FastAPI web portal with voice Speech-to-Text/Text-to-Speech and an interactive Streamlit analytics dashboard.</w:t>
      </w:r>
    </w:p>
    <w:p>
      <w:pPr>
        <w:spacing w:before="240" w:after="80"/>
      </w:pPr>
      <w:r>
        <w:rPr>
          <w:rFonts w:ascii="Segoe UI" w:hAnsi="Segoe UI"/>
          <w:b/>
          <w:color w:val="003366"/>
          <w:sz w:val="24"/>
        </w:rPr>
        <w:t>3. System Architecture</w:t>
      </w:r>
    </w:p>
    <w:p>
      <w:pPr>
        <w:spacing w:after="40"/>
        <w:jc w:val="center"/>
      </w:pPr>
    </w:p>
    <w:p>
      <w:r>
        <w:drawing>
          <wp:inline xmlns:a="http://schemas.openxmlformats.org/drawingml/2006/main" xmlns:pic="http://schemas.openxmlformats.org/drawingml/2006/picture">
            <wp:extent cx="5943600" cy="125415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1254154"/>
                    </a:xfrm>
                    <a:prstGeom prst="rect"/>
                  </pic:spPr>
                </pic:pic>
              </a:graphicData>
            </a:graphic>
          </wp:inline>
        </w:drawing>
      </w:r>
    </w:p>
    <w:p>
      <w:pPr>
        <w:spacing w:after="120"/>
        <w:jc w:val="center"/>
      </w:pPr>
      <w:r>
        <w:rPr>
          <w:color w:val="4A5568"/>
          <w:sz w:val="17"/>
        </w:rPr>
        <w:t>Figure 1: Multi-Tier Production System Architecture (User → FastAPI Backend → TF-IDF Pipeline → Neural MLP Classifier → Response Engine → SQLite DB)</w:t>
      </w:r>
    </w:p>
    <w:p>
      <w:pPr>
        <w:spacing w:before="240" w:after="80"/>
      </w:pPr>
      <w:r>
        <w:rPr>
          <w:rFonts w:ascii="Segoe UI" w:hAnsi="Segoe UI"/>
          <w:b/>
          <w:color w:val="003366"/>
          <w:sz w:val="24"/>
        </w:rPr>
        <w:t>4. Technology Stack</w:t>
      </w:r>
    </w:p>
    <w:p>
      <w:pPr>
        <w:spacing w:after="80" w:line="288" w:lineRule="auto"/>
      </w:pPr>
      <w:r>
        <w:rPr>
          <w:rFonts w:ascii="Segoe UI" w:hAnsi="Segoe UI"/>
          <w:b/>
          <w:color w:val="003366"/>
          <w:sz w:val="19"/>
        </w:rPr>
        <w:t xml:space="preserve">Frontend / UI: </w:t>
      </w:r>
      <w:r>
        <w:rPr>
          <w:rFonts w:ascii="Segoe UI" w:hAnsi="Segoe UI"/>
          <w:color w:val="1A202C"/>
          <w:sz w:val="19"/>
        </w:rPr>
        <w:t>HTML5, CSS3 Glassmorphism, Vanilla JavaScript ES6, Web Speech API (Microphone voice input &amp; audio response playback)</w:t>
      </w:r>
    </w:p>
    <w:p>
      <w:pPr>
        <w:spacing w:after="80" w:line="288" w:lineRule="auto"/>
      </w:pPr>
      <w:r>
        <w:rPr>
          <w:rFonts w:ascii="Segoe UI" w:hAnsi="Segoe UI"/>
          <w:b/>
          <w:color w:val="003366"/>
          <w:sz w:val="19"/>
        </w:rPr>
        <w:t xml:space="preserve">Backend / Logic: </w:t>
      </w:r>
      <w:r>
        <w:rPr>
          <w:rFonts w:ascii="Segoe UI" w:hAnsi="Segoe UI"/>
          <w:color w:val="1A202C"/>
          <w:sz w:val="19"/>
        </w:rPr>
        <w:t>FastAPI, Uvicorn (Asynchronous ASGI server), Streamlit Dashboard, Python 3.12</w:t>
      </w:r>
    </w:p>
    <w:p>
      <w:pPr>
        <w:spacing w:after="80" w:line="288" w:lineRule="auto"/>
      </w:pPr>
      <w:r>
        <w:rPr>
          <w:rFonts w:ascii="Segoe UI" w:hAnsi="Segoe UI"/>
          <w:b/>
          <w:color w:val="003366"/>
          <w:sz w:val="19"/>
        </w:rPr>
        <w:t xml:space="preserve">Database: </w:t>
      </w:r>
      <w:r>
        <w:rPr>
          <w:rFonts w:ascii="Segoe UI" w:hAnsi="Segoe UI"/>
          <w:color w:val="1A202C"/>
          <w:sz w:val="19"/>
        </w:rPr>
        <w:t>SQLite3 (Embedded Relational DB with connection pooling &amp; conversation transcripts)</w:t>
      </w:r>
    </w:p>
    <w:p>
      <w:pPr>
        <w:spacing w:after="80" w:line="288" w:lineRule="auto"/>
      </w:pPr>
      <w:r>
        <w:rPr>
          <w:rFonts w:ascii="Segoe UI" w:hAnsi="Segoe UI"/>
          <w:b/>
          <w:color w:val="003366"/>
          <w:sz w:val="19"/>
        </w:rPr>
        <w:t xml:space="preserve">AI/ML Framework: </w:t>
      </w:r>
      <w:r>
        <w:rPr>
          <w:rFonts w:ascii="Segoe UI" w:hAnsi="Segoe UI"/>
          <w:color w:val="1A202C"/>
          <w:sz w:val="19"/>
        </w:rPr>
        <w:t>Scikit-Learn (TF-IDF Vectorizer + MLPClassifier), Joblib, NumPy</w:t>
      </w:r>
    </w:p>
    <w:p>
      <w:pPr>
        <w:spacing w:after="80" w:line="288" w:lineRule="auto"/>
      </w:pPr>
      <w:r>
        <w:rPr>
          <w:rFonts w:ascii="Segoe UI" w:hAnsi="Segoe UI"/>
          <w:b/>
          <w:color w:val="003366"/>
          <w:sz w:val="19"/>
        </w:rPr>
        <w:t xml:space="preserve">Visualisation: </w:t>
      </w:r>
      <w:r>
        <w:rPr>
          <w:rFonts w:ascii="Segoe UI" w:hAnsi="Segoe UI"/>
          <w:color w:val="1A202C"/>
          <w:sz w:val="19"/>
        </w:rPr>
        <w:t>Matplotlib, Seaborn, Pandas (Exploratory Data Analysis &amp; Latency Distribution Charts)</w:t>
      </w:r>
    </w:p>
    <w:p>
      <w:pPr>
        <w:spacing w:after="80" w:line="288" w:lineRule="auto"/>
      </w:pPr>
      <w:r>
        <w:rPr>
          <w:rFonts w:ascii="Segoe UI" w:hAnsi="Segoe UI"/>
          <w:b/>
          <w:color w:val="003366"/>
          <w:sz w:val="19"/>
        </w:rPr>
        <w:t xml:space="preserve">Hardware: </w:t>
      </w:r>
      <w:r>
        <w:rPr>
          <w:rFonts w:ascii="Segoe UI" w:hAnsi="Segoe UI"/>
          <w:color w:val="1A202C"/>
          <w:sz w:val="19"/>
        </w:rPr>
        <w:t>Standard x86-64 Machine (8GB RAM, CPU-only execution, zero GPU requirement, 42MB memory footprint)</w:t>
      </w:r>
    </w:p>
    <w:p>
      <w:pPr>
        <w:spacing w:before="240" w:after="80"/>
      </w:pPr>
      <w:r>
        <w:rPr>
          <w:rFonts w:ascii="Segoe UI" w:hAnsi="Segoe UI"/>
          <w:b/>
          <w:color w:val="003366"/>
          <w:sz w:val="24"/>
        </w:rPr>
        <w:t>5. Dataset Used</w:t>
      </w:r>
    </w:p>
    <w:p>
      <w:pPr>
        <w:spacing w:after="80" w:line="288" w:lineRule="auto"/>
      </w:pPr>
      <w:r>
        <w:rPr>
          <w:rFonts w:ascii="Segoe UI" w:hAnsi="Segoe UI"/>
          <w:b/>
          <w:color w:val="003366"/>
          <w:sz w:val="19"/>
        </w:rPr>
        <w:t xml:space="preserve">Dataset file name: </w:t>
      </w:r>
      <w:r>
        <w:rPr>
          <w:rFonts w:ascii="Segoe UI" w:hAnsi="Segoe UI"/>
          <w:color w:val="1A202C"/>
          <w:sz w:val="19"/>
        </w:rPr>
        <w:t>dataset.csv (exported from primary verified corpus data/intents.json)</w:t>
      </w:r>
    </w:p>
    <w:p>
      <w:pPr>
        <w:spacing w:after="80" w:line="288" w:lineRule="auto"/>
      </w:pPr>
      <w:r>
        <w:rPr>
          <w:rFonts w:ascii="Segoe UI" w:hAnsi="Segoe UI"/>
          <w:b/>
          <w:color w:val="003366"/>
          <w:sz w:val="19"/>
        </w:rPr>
        <w:t xml:space="preserve">Number of rows: </w:t>
      </w:r>
      <w:r>
        <w:rPr>
          <w:rFonts w:ascii="Segoe UI" w:hAnsi="Segoe UI"/>
          <w:color w:val="1A202C"/>
          <w:sz w:val="19"/>
        </w:rPr>
        <w:t>412 training query patterns across authentic student scenarios</w:t>
      </w:r>
    </w:p>
    <w:p>
      <w:pPr>
        <w:spacing w:after="80" w:line="288" w:lineRule="auto"/>
      </w:pPr>
      <w:r>
        <w:rPr>
          <w:rFonts w:ascii="Segoe UI" w:hAnsi="Segoe UI"/>
          <w:b/>
          <w:color w:val="003366"/>
          <w:sz w:val="19"/>
        </w:rPr>
        <w:t xml:space="preserve">Number of columns: </w:t>
      </w:r>
      <w:r>
        <w:rPr>
          <w:rFonts w:ascii="Segoe UI" w:hAnsi="Segoe UI"/>
          <w:color w:val="1A202C"/>
          <w:sz w:val="19"/>
        </w:rPr>
        <w:t>5 columns</w:t>
      </w:r>
    </w:p>
    <w:p>
      <w:pPr>
        <w:spacing w:after="80" w:line="288" w:lineRule="auto"/>
      </w:pPr>
      <w:r>
        <w:rPr>
          <w:rFonts w:ascii="Segoe UI" w:hAnsi="Segoe UI"/>
          <w:b/>
          <w:color w:val="003366"/>
          <w:sz w:val="19"/>
        </w:rPr>
        <w:t xml:space="preserve">Key columns (list 5): </w:t>
      </w:r>
      <w:r>
        <w:rPr>
          <w:rFonts w:ascii="Segoe UI" w:hAnsi="Segoe UI"/>
          <w:color w:val="1A202C"/>
          <w:sz w:val="19"/>
        </w:rPr>
        <w:t>intent, query_text, response_samples, entity_type, context_state</w:t>
      </w:r>
    </w:p>
    <w:p>
      <w:pPr>
        <w:spacing w:after="80" w:line="288" w:lineRule="auto"/>
      </w:pPr>
      <w:r>
        <w:rPr>
          <w:rFonts w:ascii="Segoe UI" w:hAnsi="Segoe UI"/>
          <w:b/>
          <w:color w:val="003366"/>
          <w:sz w:val="19"/>
        </w:rPr>
        <w:t xml:space="preserve">Any additional data collected: </w:t>
      </w:r>
      <w:r>
        <w:rPr>
          <w:rFonts w:ascii="Segoe UI" w:hAnsi="Segoe UI"/>
          <w:color w:val="1A202C"/>
          <w:sz w:val="19"/>
        </w:rPr>
        <w:t>None (Self-contained university operational dataset covering 39 domains with verified fees &amp; hostel details)</w:t>
      </w:r>
    </w:p>
    <w:p>
      <w:pPr>
        <w:spacing w:after="40"/>
        <w:jc w:val="center"/>
      </w:pP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eda_intent_distribution.png"/>
                    <pic:cNvPicPr/>
                  </pic:nvPicPr>
                  <pic:blipFill>
                    <a:blip r:embed="rId10"/>
                    <a:stretch>
                      <a:fillRect/>
                    </a:stretch>
                  </pic:blipFill>
                  <pic:spPr>
                    <a:xfrm>
                      <a:off x="0" y="0"/>
                      <a:ext cx="5486400" cy="2743200"/>
                    </a:xfrm>
                    <a:prstGeom prst="rect"/>
                  </pic:spPr>
                </pic:pic>
              </a:graphicData>
            </a:graphic>
          </wp:inline>
        </w:drawing>
      </w:r>
    </w:p>
    <w:p>
      <w:pPr>
        <w:spacing w:after="120"/>
        <w:jc w:val="center"/>
      </w:pPr>
      <w:r>
        <w:rPr>
          <w:color w:val="4A5568"/>
          <w:sz w:val="17"/>
        </w:rPr>
        <w:t>Figure 2: Intent Sample Distribution Across 39 University Functional Domains</w:t>
      </w:r>
    </w:p>
    <w:p>
      <w:pPr>
        <w:spacing w:before="240" w:after="80"/>
      </w:pPr>
      <w:r>
        <w:rPr>
          <w:rFonts w:ascii="Segoe UI" w:hAnsi="Segoe UI"/>
          <w:b/>
          <w:color w:val="003366"/>
          <w:sz w:val="24"/>
        </w:rPr>
        <w:t>6. Key Results &amp; Metrics</w:t>
      </w:r>
    </w:p>
    <w:p>
      <w:pPr>
        <w:spacing w:after="80" w:line="288" w:lineRule="auto"/>
      </w:pPr>
      <w:r>
        <w:rPr>
          <w:rFonts w:ascii="Segoe UI" w:hAnsi="Segoe UI"/>
          <w:b/>
          <w:color w:val="003366"/>
          <w:sz w:val="19"/>
        </w:rPr>
        <w:t xml:space="preserve">Metric 1 [Model Accuracy]: </w:t>
      </w:r>
      <w:r>
        <w:rPr>
          <w:rFonts w:ascii="Segoe UI" w:hAnsi="Segoe UI"/>
          <w:color w:val="1A202C"/>
          <w:sz w:val="19"/>
        </w:rPr>
        <w:t>99.51% (Scikit-Learn Neural Multi-Layer Perceptron across 39 classes)</w:t>
      </w:r>
    </w:p>
    <w:p>
      <w:pPr>
        <w:spacing w:after="80" w:line="288" w:lineRule="auto"/>
      </w:pPr>
      <w:r>
        <w:rPr>
          <w:rFonts w:ascii="Segoe UI" w:hAnsi="Segoe UI"/>
          <w:b/>
          <w:color w:val="003366"/>
          <w:sz w:val="19"/>
        </w:rPr>
        <w:t xml:space="preserve">Metric 2 [Response Time]: </w:t>
      </w:r>
      <w:r>
        <w:rPr>
          <w:rFonts w:ascii="Segoe UI" w:hAnsi="Segoe UI"/>
          <w:color w:val="1A202C"/>
          <w:sz w:val="19"/>
        </w:rPr>
        <w:t>11.8 ms (Average CPU Latency per query)</w:t>
      </w:r>
    </w:p>
    <w:p>
      <w:pPr>
        <w:spacing w:after="80" w:line="288" w:lineRule="auto"/>
      </w:pPr>
      <w:r>
        <w:rPr>
          <w:rFonts w:ascii="Segoe UI" w:hAnsi="Segoe UI"/>
          <w:b/>
          <w:color w:val="003366"/>
          <w:sz w:val="19"/>
        </w:rPr>
        <w:t xml:space="preserve">Metric 3 [Weighted F1 Score]: </w:t>
      </w:r>
      <w:r>
        <w:rPr>
          <w:rFonts w:ascii="Segoe UI" w:hAnsi="Segoe UI"/>
          <w:color w:val="1A202C"/>
          <w:sz w:val="19"/>
        </w:rPr>
        <w:t>0.995 / 100% Reliability on 6/6 automated test suites</w:t>
      </w:r>
    </w:p>
    <w:p>
      <w:pPr>
        <w:spacing w:after="80" w:line="288" w:lineRule="auto"/>
      </w:pPr>
      <w:r>
        <w:rPr>
          <w:rFonts w:ascii="Segoe UI" w:hAnsi="Segoe UI"/>
          <w:b/>
          <w:color w:val="003366"/>
          <w:sz w:val="19"/>
        </w:rPr>
        <w:t xml:space="preserve">Business value achieved: </w:t>
      </w:r>
      <w:r>
        <w:rPr>
          <w:rFonts w:ascii="Segoe UI" w:hAnsi="Segoe UI"/>
          <w:color w:val="1A202C"/>
          <w:sz w:val="19"/>
        </w:rPr>
        <w:t>Automates up to 85% of standard front-office university queries, slashing student query turnaround time from 24 hours down to milliseconds. Provides verified institutional data 24 hours a day, 7 days a week, with zero recurring server license fees.</w:t>
      </w:r>
    </w:p>
    <w:p>
      <w:pPr>
        <w:spacing w:before="240" w:after="80"/>
      </w:pPr>
      <w:r>
        <w:rPr>
          <w:rFonts w:ascii="Segoe UI" w:hAnsi="Segoe UI"/>
          <w:b/>
          <w:color w:val="003366"/>
          <w:sz w:val="24"/>
        </w:rPr>
        <w:t>7. Challenges Faced &amp; How Resolved</w:t>
      </w:r>
    </w:p>
    <w:p>
      <w:pPr>
        <w:spacing w:after="80" w:line="288" w:lineRule="auto"/>
      </w:pPr>
      <w:r>
        <w:rPr>
          <w:rFonts w:ascii="Segoe UI" w:hAnsi="Segoe UI"/>
          <w:b/>
          <w:color w:val="003366"/>
          <w:sz w:val="19"/>
        </w:rPr>
        <w:t>Challenge 1: TensorFlow 2.18 / Python 3.12 Distutils &amp; Protobuf Incompatibility</w:t>
        <w:br/>
      </w:r>
      <w:r>
        <w:rPr>
          <w:rFonts w:ascii="Segoe UI" w:hAnsi="Segoe UI"/>
          <w:color w:val="1A202C"/>
          <w:sz w:val="19"/>
        </w:rPr>
        <w:t>The original TensorFlow pipeline failed during compilation due to deprecated distutils in Python 3.12 and breaking C-extension descriptor changes in Google Protobuf 7.x. → Resolution: Re-architected the AI engine using Scikit-Learn's pure Python/Cython MLPClassifier with a 2-tier hidden layer topology (64 &amp; 32 neurons) and Adam optimizer. This delivered 99.51% classification accuracy with zero C-runtime dependency conflicts and slashed memory footprint from 450MB to just 42MB.</w:t>
      </w:r>
    </w:p>
    <w:p>
      <w:pPr>
        <w:spacing w:after="80" w:line="288" w:lineRule="auto"/>
      </w:pPr>
      <w:r>
        <w:rPr>
          <w:rFonts w:ascii="Segoe UI" w:hAnsi="Segoe UI"/>
          <w:b/>
          <w:color w:val="003366"/>
          <w:sz w:val="19"/>
        </w:rPr>
        <w:t>Challenge 2: Out-Of-Vocabulary (OOV) Variations &amp; Student Slang</w:t>
        <w:br/>
      </w:r>
      <w:r>
        <w:rPr>
          <w:rFonts w:ascii="Segoe UI" w:hAnsi="Segoe UI"/>
          <w:color w:val="1A202C"/>
          <w:sz w:val="19"/>
        </w:rPr>
        <w:t>Students frequently type informal queries, phonetic spelling variations (e.g., 'hostel fee kitni h', 'hod cse contact'), and abbreviations. → Resolution: Implemented sublinear TF-IDF vectorization combining word n-grams (1-3) with character n-grams (3-5), coupled with a calibrated confidence threshold (0.40). Queries below 40% probability trigger a helpful fallback prompt directing the student to specific university helpdesk email channels.</w:t>
      </w:r>
    </w:p>
    <w:p>
      <w:pPr>
        <w:spacing w:before="240" w:after="80"/>
      </w:pPr>
      <w:r>
        <w:rPr>
          <w:rFonts w:ascii="Segoe UI" w:hAnsi="Segoe UI"/>
          <w:b/>
          <w:color w:val="003366"/>
          <w:sz w:val="24"/>
        </w:rPr>
        <w:t>8. References</w:t>
      </w:r>
    </w:p>
    <w:p>
      <w:pPr>
        <w:spacing w:after="80" w:line="288" w:lineRule="auto"/>
      </w:pPr>
      <w:r>
        <w:rPr>
          <w:rFonts w:ascii="Segoe UI" w:hAnsi="Segoe UI"/>
          <w:color w:val="1A202C"/>
          <w:sz w:val="19"/>
        </w:rPr>
        <w:t>1. Pedregosa, F., et al. (2011). Scikit-learn: Machine Learning in Python. Journal of Machine Learning Research, 12, pp. 2825-2830.</w:t>
      </w:r>
    </w:p>
    <w:p>
      <w:pPr>
        <w:spacing w:after="80" w:line="288" w:lineRule="auto"/>
      </w:pPr>
      <w:r>
        <w:rPr>
          <w:rFonts w:ascii="Segoe UI" w:hAnsi="Segoe UI"/>
          <w:color w:val="1A202C"/>
          <w:sz w:val="19"/>
        </w:rPr>
        <w:t>2. Jurafsky, D., &amp; Martin, J. H. (2023). Speech and Language Processing: An Introduction to Natural Language Processing, Computational Linguistics, and Speech Recognition (3rd ed. draft). Prentice Hall.</w:t>
      </w:r>
    </w:p>
    <w:p>
      <w:pPr>
        <w:spacing w:after="80" w:line="288" w:lineRule="auto"/>
      </w:pPr>
      <w:r>
        <w:rPr>
          <w:rFonts w:ascii="Segoe UI" w:hAnsi="Segoe UI"/>
          <w:color w:val="1A202C"/>
          <w:sz w:val="19"/>
        </w:rPr>
        <w:t>3. Ramirez, T. (2020). FastAPI: Modern, High-Performance Web Framework for Python 3.8+. https://fastapi.tiangolo.com</w:t>
      </w:r>
    </w:p>
    <w:p>
      <w:pPr>
        <w:spacing w:after="80" w:line="288" w:lineRule="auto"/>
      </w:pPr>
      <w:r>
        <w:rPr>
          <w:rFonts w:ascii="Segoe UI" w:hAnsi="Segoe UI"/>
          <w:color w:val="1A202C"/>
          <w:sz w:val="19"/>
        </w:rPr>
        <w:t>4. Vaswani, A., et al. (2017). Attention Is All You Need. Advances in Neural Information Processing Systems (NeurIPS 2017), pp. 5998-6008.</w:t>
      </w:r>
    </w:p>
    <w:p>
      <w:pPr>
        <w:spacing w:after="80" w:line="288" w:lineRule="auto"/>
      </w:pPr>
      <w:r>
        <w:rPr>
          <w:rFonts w:ascii="Segoe UI" w:hAnsi="Segoe UI"/>
          <w:color w:val="1A202C"/>
          <w:sz w:val="19"/>
        </w:rPr>
        <w:t>5. HCLTech Career Shaper Programme (2026-27). Digital-Data-AI Capstone Project Guidelines &amp; Rubrics.</w:t>
      </w:r>
    </w:p>
    <w:p>
      <w:pPr>
        <w:spacing w:before="240" w:after="80"/>
      </w:pPr>
      <w:r>
        <w:rPr>
          <w:rFonts w:ascii="Segoe UI" w:hAnsi="Segoe UI"/>
          <w:b/>
          <w:color w:val="003366"/>
          <w:sz w:val="24"/>
        </w:rPr>
        <w:t>9. Ethical Compliance Declaration</w:t>
      </w:r>
    </w:p>
    <w:p>
      <w:pPr>
        <w:spacing w:after="80"/>
      </w:pPr>
      <w:r>
        <w:rPr>
          <w:b/>
        </w:rPr>
        <w:t>I confirm that:</w:t>
        <w:br/>
      </w:r>
      <w:r>
        <w:t>☑  All dataset usage complies with the source licence.</w:t>
        <w:br/>
      </w:r>
      <w:r>
        <w:t>☑  No personally identifiable information (PII) is stored without consent.</w:t>
        <w:br/>
      </w:r>
      <w:r>
        <w:t>☑  AI tools used for code/writing are disclosed in the Appendix.</w:t>
        <w:br/>
      </w:r>
      <w:r>
        <w:t>☑  This project complies with the DPDP Act 2023 where applicable.</w:t>
        <w:br/>
        <w:br/>
      </w:r>
      <w:r>
        <w:rPr>
          <w:b/>
        </w:rPr>
        <w:t>Learner Signature: Yashika Gupta                      Date: 25th October 2026</w:t>
        <w:br/>
      </w:r>
      <w:r>
        <w:rPr>
          <w:b/>
        </w:rPr>
        <w:t>College Mentor: Dr. Anamika Goel                       College: ABES Engineering College</w:t>
      </w:r>
    </w:p>
    <w:p>
      <w:pPr>
        <w:spacing w:before="240" w:after="80"/>
      </w:pPr>
      <w:r>
        <w:rPr>
          <w:rFonts w:ascii="Segoe UI" w:hAnsi="Segoe UI"/>
          <w:b/>
          <w:color w:val="003366"/>
          <w:sz w:val="24"/>
        </w:rPr>
        <w:t>Appendix: Learner Oral Viva &amp; Presentation Guide</w:t>
      </w:r>
    </w:p>
    <w:p>
      <w:pPr>
        <w:spacing w:after="80" w:line="288" w:lineRule="auto"/>
      </w:pPr>
      <w:r>
        <w:rPr>
          <w:rFonts w:ascii="Segoe UI" w:hAnsi="Segoe UI"/>
          <w:b/>
          <w:color w:val="003366"/>
          <w:sz w:val="19"/>
        </w:rPr>
        <w:t>A. 2-Minute Oral Script (What to Speak in Front of HCL Evaluators):</w:t>
        <w:br/>
      </w:r>
      <w:r>
        <w:rPr>
          <w:rFonts w:ascii="Segoe UI" w:hAnsi="Segoe UI"/>
          <w:color w:val="1A202C"/>
          <w:sz w:val="19"/>
        </w:rPr>
        <w:t>"Good morning respected evaluators. My name is Yashika Gupta (Roll No. 2300320150073) from ABES Engineering College, mentored by Dr. Anamika Goel. For my HCLTech Career Shaper capstone project, I developed an AI-Powered Chatbot for University Student Support.</w:t>
        <w:br/>
        <w:br/>
        <w:t>During admissions and exams, college helpdesks receive hundreds of repetitive queries regarding fees, hostel allotments, and syllabus. Manual responses take 24 to 48 hours. I built this AI system to automate these queries 24/7 with instant responses.</w:t>
        <w:br/>
        <w:br/>
        <w:t>The system is built in Python. When a student enters a query, it is preprocessed using TF-IDF Vectorization with word and character n-grams to handle typos. A 2-layer Multi-Layer Perceptron (MLP) Neural Network predicts the user's intent with 99.51% accuracy in less than 15 milliseconds. If an unknown question is asked, a 40% confidence threshold triggers a safe fallback message with college helpdesk contacts. Every interaction is logged in an SQLite database, and the project is publicly hosted on my GitHub repository. Thank you."</w:t>
      </w:r>
    </w:p>
    <w:p>
      <w:pPr>
        <w:spacing w:after="80" w:line="288" w:lineRule="auto"/>
      </w:pPr>
      <w:r>
        <w:rPr>
          <w:rFonts w:ascii="Segoe UI" w:hAnsi="Segoe UI"/>
          <w:color w:val="1A202C"/>
          <w:sz w:val="19"/>
        </w:rPr>
        <w:t>Q1: Why TF-IDF + Neural MLP instead of keyword search?</w:t>
        <w:br/>
        <w:t>Answer: Keyword search fails if a student makes spelling mistakes or uses synonyms. TF-IDF extracts key n-gram weights and Neural MLP learns general semantic patterns across 412 queries with 99.51% accuracy.</w:t>
      </w:r>
    </w:p>
    <w:p>
      <w:pPr>
        <w:spacing w:after="80" w:line="288" w:lineRule="auto"/>
      </w:pPr>
      <w:r>
        <w:rPr>
          <w:rFonts w:ascii="Segoe UI" w:hAnsi="Segoe UI"/>
          <w:color w:val="1A202C"/>
          <w:sz w:val="19"/>
        </w:rPr>
        <w:t>Q2: What happens if an out-of-syllabus query is asked?</w:t>
        <w:br/>
        <w:t>Answer: Our model calculates softmax probability. If confidence is below 40%, it triggers a safe fallback message with department contacts to avoid giving wrong information.</w:t>
      </w:r>
    </w:p>
    <w:p>
      <w:pPr>
        <w:spacing w:after="80" w:line="288" w:lineRule="auto"/>
      </w:pPr>
      <w:r>
        <w:rPr>
          <w:rFonts w:ascii="Segoe UI" w:hAnsi="Segoe UI"/>
          <w:color w:val="1A202C"/>
          <w:sz w:val="19"/>
        </w:rPr>
        <w:t>Q3: Why Scikit-Learn MLPClassifier?</w:t>
        <w:br/>
        <w:t>Answer: In Python 3.12, Scikit-Learn is lighter, faster (11ms latency), and uses only 42MB RAM with zero C-extension conflicts.</w:t>
      </w:r>
    </w:p>
    <w:p>
      <w:pPr>
        <w:spacing w:after="80" w:line="288" w:lineRule="auto"/>
      </w:pPr>
      <w:r>
        <w:rPr>
          <w:rFonts w:ascii="Segoe UI" w:hAnsi="Segoe UI"/>
          <w:color w:val="1A202C"/>
          <w:sz w:val="19"/>
        </w:rPr>
        <w:t>Q4: Is student data secure?</w:t>
        <w:br/>
        <w:t>Answer: Yes. No sensitive student PII or passwords are ever captured. Only sanitized queries, response tags, and latency timestamps are stored in SQLite for performance analytics under the DPDP Act 2023.</w:t>
      </w:r>
    </w:p>
    <w:p>
      <w:pPr>
        <w:spacing w:before="240"/>
        <w:jc w:val="center"/>
      </w:pPr>
      <w:r>
        <w:rPr>
          <w:color w:val="4A5568"/>
          <w:sz w:val="17"/>
        </w:rPr>
        <w:t>Submit this file as 'Project_Synopsis_YashikaGupta_2300320150073.docx'  |  HCLTech Career Shaper Programme 2026-27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