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5632C014" w:rsidR="007D72C2" w:rsidRDefault="00A537D1" w:rsidP="00180DB3">
      <w:pPr>
        <w:pStyle w:val="Heading1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Summary of Predictive Insights</w:t>
      </w:r>
    </w:p>
    <w:p w14:paraId="20AFE931" w14:textId="77777777" w:rsidR="00180DB3" w:rsidRPr="00180DB3" w:rsidRDefault="00180DB3" w:rsidP="00180DB3">
      <w:pPr>
        <w:rPr>
          <w:b/>
          <w:bCs/>
          <w:lang w:val="en-IN"/>
        </w:rPr>
      </w:pPr>
      <w:r w:rsidRPr="00180DB3">
        <w:rPr>
          <w:b/>
          <w:bCs/>
          <w:lang w:val="en-IN"/>
        </w:rPr>
        <w:t xml:space="preserve">Based on our exploratory data analysis (EDA) and predictive </w:t>
      </w:r>
      <w:proofErr w:type="spellStart"/>
      <w:r w:rsidRPr="00180DB3">
        <w:rPr>
          <w:b/>
          <w:bCs/>
          <w:lang w:val="en-IN"/>
        </w:rPr>
        <w:t>modeling</w:t>
      </w:r>
      <w:proofErr w:type="spellEnd"/>
      <w:r w:rsidRPr="00180DB3">
        <w:rPr>
          <w:b/>
          <w:bCs/>
          <w:lang w:val="en-IN"/>
        </w:rPr>
        <w:t>, we have identified several key factors that strongly influence customer delinquency. These insights provide a data-driven foundation for a more proactive and targeted collections strategy.</w:t>
      </w:r>
    </w:p>
    <w:p w14:paraId="1791B7D9" w14:textId="77777777" w:rsidR="00180DB3" w:rsidRPr="00180DB3" w:rsidRDefault="00180DB3" w:rsidP="00180DB3">
      <w:pPr>
        <w:numPr>
          <w:ilvl w:val="0"/>
          <w:numId w:val="14"/>
        </w:numPr>
        <w:rPr>
          <w:b/>
          <w:bCs/>
          <w:lang w:val="en-IN"/>
        </w:rPr>
      </w:pPr>
      <w:r w:rsidRPr="00180DB3">
        <w:rPr>
          <w:b/>
          <w:bCs/>
          <w:lang w:val="en-IN"/>
        </w:rPr>
        <w:t>High Missed Payments: A consistent finding is the strong correlation between the number of missed payments and a delinquent account. Customers with a high number of missed payments are the most at-risk segment.</w:t>
      </w:r>
    </w:p>
    <w:p w14:paraId="4C46B867" w14:textId="77777777" w:rsidR="00180DB3" w:rsidRPr="00180DB3" w:rsidRDefault="00180DB3" w:rsidP="00180DB3">
      <w:pPr>
        <w:numPr>
          <w:ilvl w:val="0"/>
          <w:numId w:val="14"/>
        </w:numPr>
        <w:rPr>
          <w:b/>
          <w:bCs/>
          <w:lang w:val="en-IN"/>
        </w:rPr>
      </w:pPr>
      <w:r w:rsidRPr="00180DB3">
        <w:rPr>
          <w:b/>
          <w:bCs/>
          <w:lang w:val="en-IN"/>
        </w:rPr>
        <w:t>High Credit Utilization: Customers who use a significant portion of their available credit are highly susceptible to financial stress and subsequent delinquency. A credit utilization rate exceeding 70% is a primary early warning sign.</w:t>
      </w:r>
    </w:p>
    <w:p w14:paraId="501D2694" w14:textId="77777777" w:rsidR="00180DB3" w:rsidRPr="00180DB3" w:rsidRDefault="00180DB3" w:rsidP="00180DB3">
      <w:pPr>
        <w:numPr>
          <w:ilvl w:val="0"/>
          <w:numId w:val="14"/>
        </w:numPr>
        <w:rPr>
          <w:b/>
          <w:bCs/>
          <w:lang w:val="en-IN"/>
        </w:rPr>
      </w:pPr>
      <w:r w:rsidRPr="00180DB3">
        <w:rPr>
          <w:b/>
          <w:bCs/>
          <w:lang w:val="en-IN"/>
        </w:rPr>
        <w:t>Low Credit Score: A customer’s credit score is a crucial indicator. Our findings show that customers with a low credit score (below 500) have a substantially higher risk of a delinquent account.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6811"/>
      </w:tblGrid>
      <w:tr w:rsidR="00180DB3" w:rsidRPr="00180DB3" w14:paraId="144AB0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DC978" w14:textId="77777777" w:rsidR="00180DB3" w:rsidRPr="00180DB3" w:rsidRDefault="00180DB3" w:rsidP="00180DB3">
            <w:pPr>
              <w:rPr>
                <w:b/>
                <w:bCs/>
                <w:lang w:val="en-IN"/>
              </w:rPr>
            </w:pPr>
            <w:r w:rsidRPr="00180DB3">
              <w:rPr>
                <w:b/>
                <w:bCs/>
                <w:lang w:val="en-IN"/>
              </w:rPr>
              <w:t>Key Insights Summary Table</w:t>
            </w:r>
          </w:p>
        </w:tc>
        <w:tc>
          <w:tcPr>
            <w:tcW w:w="0" w:type="auto"/>
            <w:vAlign w:val="center"/>
            <w:hideMark/>
          </w:tcPr>
          <w:p w14:paraId="6E06C1EE" w14:textId="77777777" w:rsidR="00180DB3" w:rsidRPr="00180DB3" w:rsidRDefault="00180DB3" w:rsidP="00180DB3">
            <w:pPr>
              <w:rPr>
                <w:b/>
                <w:bCs/>
                <w:lang w:val="en-IN"/>
              </w:rPr>
            </w:pPr>
          </w:p>
        </w:tc>
      </w:tr>
      <w:tr w:rsidR="00180DB3" w:rsidRPr="00180DB3" w14:paraId="1A029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9BEDC" w14:textId="77777777" w:rsidR="00180DB3" w:rsidRPr="00180DB3" w:rsidRDefault="00180DB3" w:rsidP="00180DB3">
            <w:pPr>
              <w:rPr>
                <w:b/>
                <w:bCs/>
                <w:lang w:val="en-IN"/>
              </w:rPr>
            </w:pPr>
            <w:r w:rsidRPr="00180DB3">
              <w:rPr>
                <w:b/>
                <w:bCs/>
                <w:lang w:val="en-IN"/>
              </w:rPr>
              <w:t>Key Insight</w:t>
            </w:r>
          </w:p>
        </w:tc>
        <w:tc>
          <w:tcPr>
            <w:tcW w:w="0" w:type="auto"/>
            <w:vAlign w:val="center"/>
            <w:hideMark/>
          </w:tcPr>
          <w:p w14:paraId="5DFBA555" w14:textId="77777777" w:rsidR="00180DB3" w:rsidRPr="00180DB3" w:rsidRDefault="00180DB3" w:rsidP="00180DB3">
            <w:pPr>
              <w:rPr>
                <w:b/>
                <w:bCs/>
                <w:lang w:val="en-IN"/>
              </w:rPr>
            </w:pPr>
            <w:r w:rsidRPr="00180DB3">
              <w:rPr>
                <w:b/>
                <w:bCs/>
                <w:lang w:val="en-IN"/>
              </w:rPr>
              <w:t>High Credit Utilization is a strong predictor of delinquency.</w:t>
            </w:r>
          </w:p>
        </w:tc>
      </w:tr>
      <w:tr w:rsidR="00180DB3" w:rsidRPr="00180DB3" w14:paraId="63C8BA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C8B8F" w14:textId="77777777" w:rsidR="00180DB3" w:rsidRPr="00180DB3" w:rsidRDefault="00180DB3" w:rsidP="00180DB3">
            <w:pPr>
              <w:rPr>
                <w:b/>
                <w:bCs/>
                <w:lang w:val="en-IN"/>
              </w:rPr>
            </w:pPr>
            <w:r w:rsidRPr="00180DB3">
              <w:rPr>
                <w:b/>
                <w:bCs/>
                <w:lang w:val="en-IN"/>
              </w:rPr>
              <w:t>Customer Segment</w:t>
            </w:r>
          </w:p>
        </w:tc>
        <w:tc>
          <w:tcPr>
            <w:tcW w:w="0" w:type="auto"/>
            <w:vAlign w:val="center"/>
            <w:hideMark/>
          </w:tcPr>
          <w:p w14:paraId="3AC2F1F3" w14:textId="77777777" w:rsidR="00180DB3" w:rsidRPr="00180DB3" w:rsidRDefault="00180DB3" w:rsidP="00180DB3">
            <w:pPr>
              <w:rPr>
                <w:b/>
                <w:bCs/>
                <w:lang w:val="en-IN"/>
              </w:rPr>
            </w:pPr>
            <w:r w:rsidRPr="00180DB3">
              <w:rPr>
                <w:b/>
                <w:bCs/>
                <w:lang w:val="en-IN"/>
              </w:rPr>
              <w:t>Customers with credit utilization rates above 70%.</w:t>
            </w:r>
          </w:p>
        </w:tc>
      </w:tr>
      <w:tr w:rsidR="00180DB3" w:rsidRPr="00180DB3" w14:paraId="12C4C4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CE45F" w14:textId="77777777" w:rsidR="00180DB3" w:rsidRPr="00180DB3" w:rsidRDefault="00180DB3" w:rsidP="00180DB3">
            <w:pPr>
              <w:rPr>
                <w:b/>
                <w:bCs/>
                <w:lang w:val="en-IN"/>
              </w:rPr>
            </w:pPr>
            <w:r w:rsidRPr="00180DB3">
              <w:rPr>
                <w:b/>
                <w:bCs/>
                <w:lang w:val="en-IN"/>
              </w:rPr>
              <w:t>Influencing Variables</w:t>
            </w:r>
          </w:p>
        </w:tc>
        <w:tc>
          <w:tcPr>
            <w:tcW w:w="0" w:type="auto"/>
            <w:vAlign w:val="center"/>
            <w:hideMark/>
          </w:tcPr>
          <w:p w14:paraId="51C1CC3B" w14:textId="77777777" w:rsidR="00180DB3" w:rsidRPr="00180DB3" w:rsidRDefault="00180DB3" w:rsidP="00180DB3">
            <w:pPr>
              <w:rPr>
                <w:b/>
                <w:bCs/>
                <w:lang w:val="en-IN"/>
              </w:rPr>
            </w:pPr>
            <w:proofErr w:type="spellStart"/>
            <w:r w:rsidRPr="00180DB3">
              <w:rPr>
                <w:b/>
                <w:bCs/>
                <w:lang w:val="en-IN"/>
              </w:rPr>
              <w:t>Credit_Utilization</w:t>
            </w:r>
            <w:proofErr w:type="spellEnd"/>
            <w:r w:rsidRPr="00180DB3">
              <w:rPr>
                <w:b/>
                <w:bCs/>
                <w:lang w:val="en-IN"/>
              </w:rPr>
              <w:t xml:space="preserve">, </w:t>
            </w:r>
            <w:proofErr w:type="spellStart"/>
            <w:r w:rsidRPr="00180DB3">
              <w:rPr>
                <w:b/>
                <w:bCs/>
                <w:lang w:val="en-IN"/>
              </w:rPr>
              <w:t>Missed_Payments</w:t>
            </w:r>
            <w:proofErr w:type="spellEnd"/>
            <w:r w:rsidRPr="00180DB3">
              <w:rPr>
                <w:b/>
                <w:bCs/>
                <w:lang w:val="en-IN"/>
              </w:rPr>
              <w:t xml:space="preserve">, </w:t>
            </w:r>
            <w:proofErr w:type="spellStart"/>
            <w:r w:rsidRPr="00180DB3">
              <w:rPr>
                <w:b/>
                <w:bCs/>
                <w:lang w:val="en-IN"/>
              </w:rPr>
              <w:t>Loan_Balance</w:t>
            </w:r>
            <w:proofErr w:type="spellEnd"/>
            <w:r w:rsidRPr="00180DB3">
              <w:rPr>
                <w:b/>
                <w:bCs/>
                <w:lang w:val="en-IN"/>
              </w:rPr>
              <w:t>.</w:t>
            </w:r>
          </w:p>
        </w:tc>
      </w:tr>
      <w:tr w:rsidR="00180DB3" w:rsidRPr="00180DB3" w14:paraId="649CA5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DB77E" w14:textId="77777777" w:rsidR="00180DB3" w:rsidRPr="00180DB3" w:rsidRDefault="00180DB3" w:rsidP="00180DB3">
            <w:pPr>
              <w:rPr>
                <w:b/>
                <w:bCs/>
                <w:lang w:val="en-IN"/>
              </w:rPr>
            </w:pPr>
            <w:r w:rsidRPr="00180DB3">
              <w:rPr>
                <w:b/>
                <w:bCs/>
                <w:lang w:val="en-IN"/>
              </w:rPr>
              <w:t>Potential Impact</w:t>
            </w:r>
          </w:p>
        </w:tc>
        <w:tc>
          <w:tcPr>
            <w:tcW w:w="0" w:type="auto"/>
            <w:vAlign w:val="center"/>
            <w:hideMark/>
          </w:tcPr>
          <w:p w14:paraId="20652DD9" w14:textId="77777777" w:rsidR="00180DB3" w:rsidRPr="00180DB3" w:rsidRDefault="00180DB3" w:rsidP="00180DB3">
            <w:pPr>
              <w:rPr>
                <w:b/>
                <w:bCs/>
                <w:lang w:val="en-IN"/>
              </w:rPr>
            </w:pPr>
            <w:r w:rsidRPr="00180DB3">
              <w:rPr>
                <w:b/>
                <w:bCs/>
                <w:lang w:val="en-IN"/>
              </w:rPr>
              <w:t>Targeted interventions for this segment can reduce the number of delinquent accounts and improve the overall health of our loan portfolio.</w:t>
            </w:r>
          </w:p>
        </w:tc>
      </w:tr>
    </w:tbl>
    <w:p w14:paraId="6892F1EF" w14:textId="77777777" w:rsidR="00180DB3" w:rsidRPr="00180DB3" w:rsidRDefault="00180DB3" w:rsidP="00180DB3">
      <w:pPr>
        <w:rPr>
          <w:b/>
          <w:bCs/>
          <w:lang w:val="en-IN"/>
        </w:rPr>
      </w:pPr>
      <w:r w:rsidRPr="00180DB3">
        <w:rPr>
          <w:b/>
          <w:bCs/>
          <w:lang w:val="en-IN"/>
        </w:rPr>
        <w:t>Export to Sheets</w:t>
      </w:r>
    </w:p>
    <w:p w14:paraId="68584CF1" w14:textId="77777777" w:rsidR="00180DB3" w:rsidRPr="00180DB3" w:rsidRDefault="00180DB3" w:rsidP="00180DB3">
      <w:pPr>
        <w:rPr>
          <w:b/>
          <w:bCs/>
          <w:lang w:val="en-IN"/>
        </w:rPr>
      </w:pPr>
      <w:r w:rsidRPr="00180DB3">
        <w:rPr>
          <w:b/>
          <w:bCs/>
          <w:lang w:val="en-IN"/>
        </w:rPr>
        <w:pict w14:anchorId="0E75D80D">
          <v:rect id="_x0000_i1061" style="width:0;height:1.5pt" o:hralign="center" o:hrstd="t" o:hr="t" fillcolor="#a0a0a0" stroked="f"/>
        </w:pict>
      </w:r>
    </w:p>
    <w:p w14:paraId="1E8CA1B4" w14:textId="77777777" w:rsidR="00180DB3" w:rsidRPr="00180DB3" w:rsidRDefault="00180DB3" w:rsidP="00180DB3">
      <w:pPr>
        <w:rPr>
          <w:b/>
          <w:bCs/>
          <w:lang w:val="en-IN"/>
        </w:rPr>
      </w:pPr>
      <w:r w:rsidRPr="00180DB3">
        <w:rPr>
          <w:b/>
          <w:bCs/>
          <w:lang w:val="en-IN"/>
        </w:rPr>
        <w:lastRenderedPageBreak/>
        <w:t>2. Recommendation Framework</w:t>
      </w:r>
    </w:p>
    <w:p w14:paraId="14243C4D" w14:textId="77777777" w:rsidR="00180DB3" w:rsidRPr="00180DB3" w:rsidRDefault="00180DB3" w:rsidP="00180DB3">
      <w:pPr>
        <w:rPr>
          <w:b/>
          <w:bCs/>
          <w:lang w:val="en-IN"/>
        </w:rPr>
      </w:pPr>
      <w:r w:rsidRPr="00180DB3">
        <w:rPr>
          <w:b/>
          <w:bCs/>
          <w:lang w:val="en-IN"/>
        </w:rPr>
        <w:t>Based on the insight that high credit utilization is a leading indicator of delinquency, we propose a targeted intervention strategy to proactively engage this at-risk segment before they become delinquent.</w:t>
      </w:r>
    </w:p>
    <w:p w14:paraId="4D2A1B81" w14:textId="77777777" w:rsidR="00180DB3" w:rsidRPr="00180DB3" w:rsidRDefault="00180DB3" w:rsidP="00180DB3">
      <w:pPr>
        <w:rPr>
          <w:b/>
          <w:bCs/>
          <w:lang w:val="en-IN"/>
        </w:rPr>
      </w:pPr>
      <w:r w:rsidRPr="00180DB3">
        <w:rPr>
          <w:b/>
          <w:bCs/>
          <w:lang w:val="en-IN"/>
        </w:rPr>
        <w:t>Restated Insight: High credit utilization directly increases the likelihood of delinquency.</w:t>
      </w:r>
    </w:p>
    <w:p w14:paraId="636E1348" w14:textId="77777777" w:rsidR="00180DB3" w:rsidRPr="00180DB3" w:rsidRDefault="00180DB3" w:rsidP="00180DB3">
      <w:pPr>
        <w:rPr>
          <w:b/>
          <w:bCs/>
          <w:lang w:val="en-IN"/>
        </w:rPr>
      </w:pPr>
      <w:r w:rsidRPr="00180DB3">
        <w:rPr>
          <w:b/>
          <w:bCs/>
          <w:lang w:val="en-IN"/>
        </w:rPr>
        <w:t>Proposed Recommendation:</w:t>
      </w:r>
    </w:p>
    <w:p w14:paraId="10E68ED2" w14:textId="77777777" w:rsidR="00180DB3" w:rsidRPr="00180DB3" w:rsidRDefault="00180DB3" w:rsidP="00180DB3">
      <w:pPr>
        <w:numPr>
          <w:ilvl w:val="0"/>
          <w:numId w:val="15"/>
        </w:numPr>
        <w:rPr>
          <w:b/>
          <w:bCs/>
          <w:lang w:val="en-IN"/>
        </w:rPr>
      </w:pPr>
      <w:r w:rsidRPr="00180DB3">
        <w:rPr>
          <w:b/>
          <w:bCs/>
          <w:lang w:val="en-IN"/>
        </w:rPr>
        <w:t>Specific: Implement a personalized communication campaign to provide financial guidance and support to customers with a credit utilization rate above 70%.</w:t>
      </w:r>
    </w:p>
    <w:p w14:paraId="7801C3B6" w14:textId="77777777" w:rsidR="00180DB3" w:rsidRPr="00180DB3" w:rsidRDefault="00180DB3" w:rsidP="00180DB3">
      <w:pPr>
        <w:numPr>
          <w:ilvl w:val="0"/>
          <w:numId w:val="15"/>
        </w:numPr>
        <w:rPr>
          <w:b/>
          <w:bCs/>
          <w:lang w:val="en-IN"/>
        </w:rPr>
      </w:pPr>
      <w:r w:rsidRPr="00180DB3">
        <w:rPr>
          <w:b/>
          <w:bCs/>
          <w:lang w:val="en-IN"/>
        </w:rPr>
        <w:t>Measurable: Reduce the delinquency rate within this customer segment by 15% over the next six months.</w:t>
      </w:r>
    </w:p>
    <w:p w14:paraId="76BE0A82" w14:textId="77777777" w:rsidR="00180DB3" w:rsidRPr="00180DB3" w:rsidRDefault="00180DB3" w:rsidP="00180DB3">
      <w:pPr>
        <w:numPr>
          <w:ilvl w:val="0"/>
          <w:numId w:val="15"/>
        </w:numPr>
        <w:rPr>
          <w:b/>
          <w:bCs/>
          <w:lang w:val="en-IN"/>
        </w:rPr>
      </w:pPr>
      <w:r w:rsidRPr="00180DB3">
        <w:rPr>
          <w:b/>
          <w:bCs/>
          <w:lang w:val="en-IN"/>
        </w:rPr>
        <w:t>Actionable: The collections team will use the model's output to identify at-risk customers and deploy automated, tailored messages.</w:t>
      </w:r>
    </w:p>
    <w:p w14:paraId="73A624EB" w14:textId="77777777" w:rsidR="00180DB3" w:rsidRPr="00180DB3" w:rsidRDefault="00180DB3" w:rsidP="00180DB3">
      <w:pPr>
        <w:numPr>
          <w:ilvl w:val="0"/>
          <w:numId w:val="15"/>
        </w:numPr>
        <w:rPr>
          <w:b/>
          <w:bCs/>
          <w:lang w:val="en-IN"/>
        </w:rPr>
      </w:pPr>
      <w:r w:rsidRPr="00180DB3">
        <w:rPr>
          <w:b/>
          <w:bCs/>
          <w:lang w:val="en-IN"/>
        </w:rPr>
        <w:t xml:space="preserve">Relevant: This recommendation directly addresses a key predictive finding and aligns with </w:t>
      </w:r>
      <w:proofErr w:type="spellStart"/>
      <w:r w:rsidRPr="00180DB3">
        <w:rPr>
          <w:b/>
          <w:bCs/>
          <w:lang w:val="en-IN"/>
        </w:rPr>
        <w:t>Geldium’s</w:t>
      </w:r>
      <w:proofErr w:type="spellEnd"/>
      <w:r w:rsidRPr="00180DB3">
        <w:rPr>
          <w:b/>
          <w:bCs/>
          <w:lang w:val="en-IN"/>
        </w:rPr>
        <w:t xml:space="preserve"> goals of improving loan portfolio health.</w:t>
      </w:r>
    </w:p>
    <w:p w14:paraId="47E349C6" w14:textId="77777777" w:rsidR="00180DB3" w:rsidRPr="00180DB3" w:rsidRDefault="00180DB3" w:rsidP="00180DB3">
      <w:pPr>
        <w:numPr>
          <w:ilvl w:val="0"/>
          <w:numId w:val="15"/>
        </w:numPr>
        <w:rPr>
          <w:b/>
          <w:bCs/>
          <w:lang w:val="en-IN"/>
        </w:rPr>
      </w:pPr>
      <w:r w:rsidRPr="00180DB3">
        <w:rPr>
          <w:b/>
          <w:bCs/>
          <w:lang w:val="en-IN"/>
        </w:rPr>
        <w:t>Time-bound: The campaign will be executed and measured over a six-month period.</w:t>
      </w:r>
    </w:p>
    <w:p w14:paraId="75921B40" w14:textId="77777777" w:rsidR="00180DB3" w:rsidRPr="00180DB3" w:rsidRDefault="00180DB3" w:rsidP="00180DB3">
      <w:pPr>
        <w:rPr>
          <w:b/>
          <w:bCs/>
          <w:lang w:val="en-IN"/>
        </w:rPr>
      </w:pPr>
      <w:r w:rsidRPr="00180DB3">
        <w:rPr>
          <w:b/>
          <w:bCs/>
          <w:lang w:val="en-IN"/>
        </w:rPr>
        <w:t>Justification and Business Rationale: This proactive strategy offers a significant return on investment. Instead of waiting for an account to become delinquent, which is costly to resolve, we are intervening earlier to prevent it. By targeting a specific, data-identified risk segment, we can allocate resources more efficiently, reduce collection-related expenses, and foster a more positive and long-term relationship with our customers.</w:t>
      </w:r>
    </w:p>
    <w:p w14:paraId="012C5CCA" w14:textId="77777777" w:rsidR="00180DB3" w:rsidRPr="00180DB3" w:rsidRDefault="00180DB3" w:rsidP="00180DB3">
      <w:pPr>
        <w:rPr>
          <w:b/>
          <w:bCs/>
          <w:lang w:val="en-IN"/>
        </w:rPr>
      </w:pPr>
      <w:r w:rsidRPr="00180DB3">
        <w:rPr>
          <w:b/>
          <w:bCs/>
          <w:lang w:val="en-IN"/>
        </w:rPr>
        <w:pict w14:anchorId="59EE2936">
          <v:rect id="_x0000_i1062" style="width:0;height:1.5pt" o:hralign="center" o:hrstd="t" o:hr="t" fillcolor="#a0a0a0" stroked="f"/>
        </w:pict>
      </w:r>
    </w:p>
    <w:p w14:paraId="1DF072A6" w14:textId="77777777" w:rsidR="00180DB3" w:rsidRPr="00180DB3" w:rsidRDefault="00180DB3" w:rsidP="00180DB3">
      <w:pPr>
        <w:rPr>
          <w:b/>
          <w:bCs/>
          <w:lang w:val="en-IN"/>
        </w:rPr>
      </w:pPr>
      <w:r w:rsidRPr="00180DB3">
        <w:rPr>
          <w:b/>
          <w:bCs/>
          <w:lang w:val="en-IN"/>
        </w:rPr>
        <w:t>3. Ethical and Responsible AI Considerations</w:t>
      </w:r>
    </w:p>
    <w:p w14:paraId="2C6B05CD" w14:textId="77777777" w:rsidR="00180DB3" w:rsidRPr="00180DB3" w:rsidRDefault="00180DB3" w:rsidP="00180DB3">
      <w:pPr>
        <w:rPr>
          <w:b/>
          <w:bCs/>
          <w:lang w:val="en-IN"/>
        </w:rPr>
      </w:pPr>
      <w:r w:rsidRPr="00180DB3">
        <w:rPr>
          <w:b/>
          <w:bCs/>
          <w:lang w:val="en-IN"/>
        </w:rPr>
        <w:t xml:space="preserve">Our approach to predictive </w:t>
      </w:r>
      <w:proofErr w:type="spellStart"/>
      <w:r w:rsidRPr="00180DB3">
        <w:rPr>
          <w:b/>
          <w:bCs/>
          <w:lang w:val="en-IN"/>
        </w:rPr>
        <w:t>modeling</w:t>
      </w:r>
      <w:proofErr w:type="spellEnd"/>
      <w:r w:rsidRPr="00180DB3">
        <w:rPr>
          <w:b/>
          <w:bCs/>
          <w:lang w:val="en-IN"/>
        </w:rPr>
        <w:t xml:space="preserve"> is guided by a commitment to using AI responsibly, ensuring fairness and transparency in all our recommendations.</w:t>
      </w:r>
    </w:p>
    <w:p w14:paraId="20CA50FE" w14:textId="77777777" w:rsidR="00180DB3" w:rsidRPr="00180DB3" w:rsidRDefault="00180DB3" w:rsidP="00180DB3">
      <w:pPr>
        <w:rPr>
          <w:b/>
          <w:bCs/>
          <w:lang w:val="en-IN"/>
        </w:rPr>
      </w:pPr>
      <w:r w:rsidRPr="00180DB3">
        <w:rPr>
          <w:b/>
          <w:bCs/>
          <w:lang w:val="en-IN"/>
        </w:rPr>
        <w:t>Fairness and Bias Risks &amp; Mitigation:</w:t>
      </w:r>
    </w:p>
    <w:p w14:paraId="0C91F55C" w14:textId="77777777" w:rsidR="00180DB3" w:rsidRPr="00180DB3" w:rsidRDefault="00180DB3" w:rsidP="00180DB3">
      <w:pPr>
        <w:numPr>
          <w:ilvl w:val="0"/>
          <w:numId w:val="16"/>
        </w:numPr>
        <w:rPr>
          <w:b/>
          <w:bCs/>
          <w:lang w:val="en-IN"/>
        </w:rPr>
      </w:pPr>
      <w:r w:rsidRPr="00180DB3">
        <w:rPr>
          <w:b/>
          <w:bCs/>
          <w:lang w:val="en-IN"/>
        </w:rPr>
        <w:t>Bias Against Demographic Groups: The model could potentially learn and amplify existing biases in the data, leading to a disproportionate flagging of customers from specific age groups or locations as high-risk.</w:t>
      </w:r>
    </w:p>
    <w:p w14:paraId="567E746B" w14:textId="77777777" w:rsidR="00180DB3" w:rsidRPr="00180DB3" w:rsidRDefault="00180DB3" w:rsidP="00180DB3">
      <w:pPr>
        <w:numPr>
          <w:ilvl w:val="1"/>
          <w:numId w:val="16"/>
        </w:numPr>
        <w:rPr>
          <w:b/>
          <w:bCs/>
          <w:lang w:val="en-IN"/>
        </w:rPr>
      </w:pPr>
      <w:r w:rsidRPr="00180DB3">
        <w:rPr>
          <w:b/>
          <w:bCs/>
          <w:lang w:val="en-IN"/>
        </w:rPr>
        <w:lastRenderedPageBreak/>
        <w:t>Mitigation: We will regularly audit the model's performance to detect any "disparate impact" across protected demographic groups. If bias is found, we will re-evaluate our input features or apply bias-mitigation techniques.</w:t>
      </w:r>
    </w:p>
    <w:p w14:paraId="4C451296" w14:textId="77777777" w:rsidR="00180DB3" w:rsidRPr="00180DB3" w:rsidRDefault="00180DB3" w:rsidP="00180DB3">
      <w:pPr>
        <w:numPr>
          <w:ilvl w:val="0"/>
          <w:numId w:val="16"/>
        </w:numPr>
        <w:rPr>
          <w:b/>
          <w:bCs/>
          <w:lang w:val="en-IN"/>
        </w:rPr>
      </w:pPr>
      <w:r w:rsidRPr="00180DB3">
        <w:rPr>
          <w:b/>
          <w:bCs/>
          <w:lang w:val="en-IN"/>
        </w:rPr>
        <w:t xml:space="preserve">Lack of Explainability ("Black Box" Predictions): Using a complex model might make it difficult to explain to a customer </w:t>
      </w:r>
      <w:r w:rsidRPr="00180DB3">
        <w:rPr>
          <w:b/>
          <w:bCs/>
          <w:i/>
          <w:iCs/>
          <w:lang w:val="en-IN"/>
        </w:rPr>
        <w:t>why</w:t>
      </w:r>
      <w:r w:rsidRPr="00180DB3">
        <w:rPr>
          <w:b/>
          <w:bCs/>
          <w:lang w:val="en-IN"/>
        </w:rPr>
        <w:t xml:space="preserve"> they were classified as high-risk, which can erode trust and is an ethical concern.</w:t>
      </w:r>
    </w:p>
    <w:p w14:paraId="10E6E142" w14:textId="77777777" w:rsidR="00180DB3" w:rsidRPr="00180DB3" w:rsidRDefault="00180DB3" w:rsidP="00180DB3">
      <w:pPr>
        <w:numPr>
          <w:ilvl w:val="1"/>
          <w:numId w:val="16"/>
        </w:numPr>
        <w:rPr>
          <w:b/>
          <w:bCs/>
          <w:lang w:val="en-IN"/>
        </w:rPr>
      </w:pPr>
      <w:r w:rsidRPr="00180DB3">
        <w:rPr>
          <w:b/>
          <w:bCs/>
          <w:lang w:val="en-IN"/>
        </w:rPr>
        <w:t>Mitigation: Our chosen Logistic Regression model provides clear explainability. Additionally, we will develop a dashboard that translates model predictions into plain language, ensuring transparency for both our team and the customer.</w:t>
      </w:r>
    </w:p>
    <w:p w14:paraId="045C4F83" w14:textId="77777777" w:rsidR="00180DB3" w:rsidRPr="00180DB3" w:rsidRDefault="00180DB3" w:rsidP="00180DB3">
      <w:pPr>
        <w:rPr>
          <w:b/>
          <w:bCs/>
          <w:lang w:val="en-IN"/>
        </w:rPr>
      </w:pPr>
      <w:r w:rsidRPr="00180DB3">
        <w:rPr>
          <w:b/>
          <w:bCs/>
          <w:lang w:val="en-IN"/>
        </w:rPr>
        <w:t>Our recommendation is not designed to punish customers. Instead, it is built to support them. By identifying at-risk individuals early, we can offer proactive assistance that empowers them to make better financial decisions, helping them avoid the negative consequences of delinquency. This aligns our business goals with a more ethical and customer-centric financial strategy.</w:t>
      </w:r>
    </w:p>
    <w:p w14:paraId="33EC1793" w14:textId="44C81A99" w:rsidR="007D72C2" w:rsidRPr="00A537D1" w:rsidRDefault="007D72C2" w:rsidP="00180DB3">
      <w:pPr>
        <w:rPr>
          <w:rFonts w:ascii="Arial" w:hAnsi="Arial" w:cs="Arial"/>
          <w:color w:val="000000" w:themeColor="text1"/>
        </w:rPr>
      </w:pPr>
    </w:p>
    <w:sectPr w:rsidR="007D72C2" w:rsidRPr="00A53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C1CB8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5CA6C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5D1653"/>
    <w:multiLevelType w:val="multilevel"/>
    <w:tmpl w:val="2A0E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F6739"/>
    <w:multiLevelType w:val="multilevel"/>
    <w:tmpl w:val="9B5C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81DF7"/>
    <w:multiLevelType w:val="multilevel"/>
    <w:tmpl w:val="7E8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72EF8"/>
    <w:multiLevelType w:val="multilevel"/>
    <w:tmpl w:val="2B48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346FAA"/>
    <w:multiLevelType w:val="hybridMultilevel"/>
    <w:tmpl w:val="7D908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15F07"/>
    <w:multiLevelType w:val="multilevel"/>
    <w:tmpl w:val="9D56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E1405"/>
    <w:multiLevelType w:val="multilevel"/>
    <w:tmpl w:val="5EA8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1577856614">
    <w:abstractNumId w:val="13"/>
  </w:num>
  <w:num w:numId="11" w16cid:durableId="1422019349">
    <w:abstractNumId w:val="15"/>
  </w:num>
  <w:num w:numId="12" w16cid:durableId="88308828">
    <w:abstractNumId w:val="10"/>
  </w:num>
  <w:num w:numId="13" w16cid:durableId="97606516">
    <w:abstractNumId w:val="9"/>
  </w:num>
  <w:num w:numId="14" w16cid:durableId="37434194">
    <w:abstractNumId w:val="11"/>
  </w:num>
  <w:num w:numId="15" w16cid:durableId="2094735463">
    <w:abstractNumId w:val="14"/>
  </w:num>
  <w:num w:numId="16" w16cid:durableId="6709084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DB3"/>
    <w:rsid w:val="0029639D"/>
    <w:rsid w:val="00326F90"/>
    <w:rsid w:val="007D72C2"/>
    <w:rsid w:val="008237CA"/>
    <w:rsid w:val="00A537D1"/>
    <w:rsid w:val="00AA1D8D"/>
    <w:rsid w:val="00B47730"/>
    <w:rsid w:val="00CB0664"/>
    <w:rsid w:val="00E126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Yashika Bhambhani</cp:lastModifiedBy>
  <cp:revision>2</cp:revision>
  <dcterms:created xsi:type="dcterms:W3CDTF">2025-08-24T12:28:00Z</dcterms:created>
  <dcterms:modified xsi:type="dcterms:W3CDTF">2025-08-24T12:28:00Z</dcterms:modified>
  <cp:category/>
</cp:coreProperties>
</file>