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 Salaries Assignment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https://drive.google.com/file/d/1kPp2MePpJKrft1PPID-r8erK58K7Vofi/view?usp=sharing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Taneja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-2210990979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first 10 rows of the Dataset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Last 10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Shape of our Dataset (Number of rows and number of columns)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info about our dataset like total number of rows, total number of columns,datatypes of each column and memory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Drop ID, Notes, Agency, Status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occurrence of the employee name(top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number of unique job titles.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number of jobs titles contains captains.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all the employee names from fire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minimum,maximum, average basepay.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Replace not provided in employeename column to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top 5 Most common jobs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Albert Pardini make (include benefits)?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sum():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nunique():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apply():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:Description : This method is used to replace a specified value or values with another value in a dataframes or series.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kPp2MePpJKrft1PPID-r8erK58K7Vof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PdnexeZBDzFEPyLCmrNSrrGSmA==">CgMxLjA4AHIhMWVxYk43WjdRdFJad2JKQXdxSk5FTE1FdnRVLUt3T0hs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2024-02-01T19:15:00Z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_DocHome">
    <vt:i4>407664996</vt:i4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_DocHome">
    <vt:lpwstr>407664996</vt:lpwstr>
  </property>
</Properties>
</file>