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272E"/>
          <w:spacing w:val="200"/>
          <w:sz w:val="72"/>
          <w:szCs w:val="72"/>
        </w:rPr>
        <w:t xml:space="preserve">COLDTRACK</w:t>
      </w:r>
    </w:p>
    <w:p>
      <w:pPr>
        <w:spacing w:after="200"/>
        <w:jc w:val="center"/>
      </w:pPr>
      <w:r>
        <w:rPr>
          <w:rFonts w:ascii="Arial" w:cs="Arial" w:eastAsia="Arial" w:hAnsi="Arial"/>
          <w:color w:val="7F8C8D"/>
          <w:sz w:val="32"/>
          <w:szCs w:val="32"/>
        </w:rPr>
        <w:t xml:space="preserve">Dairy Inventory Risk Analysis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00B894"/>
          <w:sz w:val="28"/>
          <w:szCs w:val="28"/>
        </w:rPr>
        <w:t xml:space="preserve">SQL Analysis Report</w:t>
      </w:r>
    </w:p>
    <w:p>
      <w:pPr>
        <w:pBdr>
          <w:bottom w:val="single" w:color="DDDDDD" w:sz="4"/>
        </w:pBdr>
        <w:spacing w:after="0" w:before="0"/>
      </w:pPr>
      <w:r>
        <w:t xml:space="preserve"/>
      </w:r>
    </w:p>
    <w:p>
      <w:pPr>
        <w:spacing w:after="3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1E272E"/>
          <w:sz w:val="22"/>
          <w:szCs w:val="22"/>
        </w:rPr>
        <w:t xml:space="preserve">Prepared by  ·  Yash Kumar</w:t>
      </w:r>
    </w:p>
    <w:p>
      <w:pPr>
        <w:spacing w:after="16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BigQuery SQL</w:t>
      </w:r>
    </w:p>
    <w:p>
      <w:pPr>
        <w:jc w:val="center"/>
      </w:pPr>
      <w:r>
        <w:rPr>
          <w:rFonts w:ascii="Arial" w:cs="Arial" w:eastAsia="Arial" w:hAnsi="Arial"/>
          <w:color w:val="B2BEC3"/>
          <w:sz w:val="20"/>
          <w:szCs w:val="20"/>
        </w:rPr>
        <w:t xml:space="preserve">Dataset: 4,325 records  ·  11 Brands  ·  2019 – 2022</w:t>
      </w:r>
    </w:p>
    <w:p>
      <w:r>
        <w:br w:type="page"/>
      </w:r>
    </w:p>
    <w:p>
      <w:pPr>
        <w:spacing w:after="400" w:before="0"/>
      </w:pPr>
      <w:r>
        <w:t xml:space="preserve"/>
      </w:r>
    </w:p>
    <w:p>
      <w:pPr>
        <w:spacing w:after="240"/>
      </w:pPr>
      <w:r>
        <w:rPr>
          <w:rFonts w:ascii="Arial" w:cs="Arial" w:eastAsia="Arial" w:hAnsi="Arial"/>
          <w:b/>
          <w:bCs/>
          <w:color w:val="1E272E"/>
          <w:sz w:val="40"/>
          <w:szCs w:val="40"/>
        </w:rPr>
        <w:t xml:space="preserve">Project Overview</w:t>
      </w:r>
    </w:p>
    <w:p>
      <w:pPr>
        <w:pBdr>
          <w:bottom w:val="single" w:color="DDDDDD" w:sz="4"/>
        </w:pBdr>
        <w:spacing w:after="0" w:before="0"/>
      </w:pPr>
      <w:r>
        <w:t xml:space="preserve"/>
      </w:r>
    </w:p>
    <w:p>
      <w:pPr>
        <w:spacing w:after="240" w:before="0"/>
      </w:pPr>
      <w:r>
        <w:t xml:space="preserve"/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presents SQL queries written in BigQuery to investigate the cold-chain inventory risk found in the ColdTrack dairy supply chain dataset. Each query builds on the previous — forming a narrative from delivery failure identification through to root cause and stock behaviour.</w:t>
      </w:r>
    </w:p>
    <w:p>
      <w:pPr>
        <w:spacing w:after="4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queries directly informed the insights built into the ColdTrack Power BI dashboard, including the identification of ₹141K in preventable cold-chain losses.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00B894"/>
          <w:spacing w:val="120"/>
          <w:sz w:val="18"/>
          <w:szCs w:val="18"/>
        </w:rPr>
        <w:t xml:space="preserve">ANALYSIS STRUCTURE</w:t>
      </w:r>
    </w:p>
    <w:p>
      <w:pPr>
        <w:spacing w:after="160" w:before="0"/>
      </w:pPr>
      <w:r>
        <w:t xml:space="preserve"/>
      </w:r>
    </w:p>
    <w:p>
      <w:pPr>
        <w:pBdr>
          <w:left w:val="single" w:color="00B894" w:sz="6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00B894"/>
          <w:sz w:val="22"/>
          <w:szCs w:val="22"/>
        </w:rPr>
        <w:t xml:space="preserve">1–2  </w:t>
      </w:r>
      <w:r>
        <w:rPr>
          <w:rFonts w:ascii="Arial" w:cs="Arial" w:eastAsia="Arial" w:hAnsi="Arial"/>
          <w:b/>
          <w:bCs/>
          <w:color w:val="1E272E"/>
          <w:sz w:val="22"/>
          <w:szCs w:val="22"/>
        </w:rPr>
        <w:t xml:space="preserve">Delivery &amp; Transport Failure  —  </w:t>
      </w:r>
      <w:r>
        <w:rPr>
          <w:rFonts w:ascii="Arial" w:cs="Arial" w:eastAsia="Arial" w:hAnsi="Arial"/>
          <w:color w:val="7F8C8D"/>
          <w:sz w:val="22"/>
          <w:szCs w:val="22"/>
        </w:rPr>
        <w:t xml:space="preserve">Identify which products require multiple restock cycles</w:t>
      </w:r>
    </w:p>
    <w:p>
      <w:pPr>
        <w:pBdr>
          <w:left w:val="single" w:color="00B894" w:sz="6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00B894"/>
          <w:sz w:val="22"/>
          <w:szCs w:val="22"/>
        </w:rPr>
        <w:t xml:space="preserve">3–4  </w:t>
      </w:r>
      <w:r>
        <w:rPr>
          <w:rFonts w:ascii="Arial" w:cs="Arial" w:eastAsia="Arial" w:hAnsi="Arial"/>
          <w:b/>
          <w:bCs/>
          <w:color w:val="1E272E"/>
          <w:sz w:val="22"/>
          <w:szCs w:val="22"/>
        </w:rPr>
        <w:t xml:space="preserve">Storage Type Risk  —  </w:t>
      </w:r>
      <w:r>
        <w:rPr>
          <w:rFonts w:ascii="Arial" w:cs="Arial" w:eastAsia="Arial" w:hAnsi="Arial"/>
          <w:color w:val="7F8C8D"/>
          <w:sz w:val="22"/>
          <w:szCs w:val="22"/>
        </w:rPr>
        <w:t xml:space="preserve">Expiry rate breakdown by storage condition</w:t>
      </w:r>
    </w:p>
    <w:p>
      <w:pPr>
        <w:pBdr>
          <w:left w:val="single" w:color="00B894" w:sz="6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00B894"/>
          <w:sz w:val="22"/>
          <w:szCs w:val="22"/>
        </w:rPr>
        <w:t xml:space="preserve">5  </w:t>
      </w:r>
      <w:r>
        <w:rPr>
          <w:rFonts w:ascii="Arial" w:cs="Arial" w:eastAsia="Arial" w:hAnsi="Arial"/>
          <w:b/>
          <w:bCs/>
          <w:color w:val="1E272E"/>
          <w:sz w:val="22"/>
          <w:szCs w:val="22"/>
        </w:rPr>
        <w:t xml:space="preserve">Root Cause Test  —  </w:t>
      </w:r>
      <w:r>
        <w:rPr>
          <w:rFonts w:ascii="Arial" w:cs="Arial" w:eastAsia="Arial" w:hAnsi="Arial"/>
          <w:color w:val="7F8C8D"/>
          <w:sz w:val="22"/>
          <w:szCs w:val="22"/>
        </w:rPr>
        <w:t xml:space="preserve">Prove or disprove reorder quantity as the cause</w:t>
      </w:r>
    </w:p>
    <w:p>
      <w:pPr>
        <w:pBdr>
          <w:left w:val="single" w:color="00B894" w:sz="6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00B894"/>
          <w:sz w:val="22"/>
          <w:szCs w:val="22"/>
        </w:rPr>
        <w:t xml:space="preserve">6  </w:t>
      </w:r>
      <w:r>
        <w:rPr>
          <w:rFonts w:ascii="Arial" w:cs="Arial" w:eastAsia="Arial" w:hAnsi="Arial"/>
          <w:b/>
          <w:bCs/>
          <w:color w:val="1E272E"/>
          <w:sz w:val="22"/>
          <w:szCs w:val="22"/>
        </w:rPr>
        <w:t xml:space="preserve">Stock Behaviour  —  </w:t>
      </w:r>
      <w:r>
        <w:rPr>
          <w:rFonts w:ascii="Arial" w:cs="Arial" w:eastAsia="Arial" w:hAnsi="Arial"/>
          <w:color w:val="7F8C8D"/>
          <w:sz w:val="22"/>
          <w:szCs w:val="22"/>
        </w:rPr>
        <w:t xml:space="preserve">On-time deliveries — stock vs minimum threshold</w:t>
      </w:r>
    </w:p>
    <w:p>
      <w:pPr>
        <w:pBdr>
          <w:left w:val="single" w:color="00B894" w:sz="6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00B894"/>
          <w:sz w:val="22"/>
          <w:szCs w:val="22"/>
        </w:rPr>
        <w:t xml:space="preserve">7  </w:t>
      </w:r>
      <w:r>
        <w:rPr>
          <w:rFonts w:ascii="Arial" w:cs="Arial" w:eastAsia="Arial" w:hAnsi="Arial"/>
          <w:b/>
          <w:bCs/>
          <w:color w:val="1E272E"/>
          <w:sz w:val="22"/>
          <w:szCs w:val="22"/>
        </w:rPr>
        <w:t xml:space="preserve">Timing Breakdown  —  </w:t>
      </w:r>
      <w:r>
        <w:rPr>
          <w:rFonts w:ascii="Arial" w:cs="Arial" w:eastAsia="Arial" w:hAnsi="Arial"/>
          <w:color w:val="7F8C8D"/>
          <w:sz w:val="22"/>
          <w:szCs w:val="22"/>
        </w:rPr>
        <w:t xml:space="preserve">Production-to-sale gap vs shelf life</w:t>
      </w:r>
    </w:p>
    <w:p>
      <w:pPr>
        <w:pBdr>
          <w:left w:val="single" w:color="00B894" w:sz="6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00B894"/>
          <w:sz w:val="22"/>
          <w:szCs w:val="22"/>
        </w:rPr>
        <w:t xml:space="preserve">8–9  </w:t>
      </w:r>
      <w:r>
        <w:rPr>
          <w:rFonts w:ascii="Arial" w:cs="Arial" w:eastAsia="Arial" w:hAnsi="Arial"/>
          <w:b/>
          <w:bCs/>
          <w:color w:val="1E272E"/>
          <w:sz w:val="22"/>
          <w:szCs w:val="22"/>
        </w:rPr>
        <w:t xml:space="preserve">Product &amp; Seasonal Patterns  —  </w:t>
      </w:r>
      <w:r>
        <w:rPr>
          <w:rFonts w:ascii="Arial" w:cs="Arial" w:eastAsia="Arial" w:hAnsi="Arial"/>
          <w:color w:val="7F8C8D"/>
          <w:sz w:val="22"/>
          <w:szCs w:val="22"/>
        </w:rPr>
        <w:t xml:space="preserve">Per-product stock levels and monthly demand</w:t>
      </w:r>
    </w:p>
    <w:p>
      <w:r>
        <w:br w:type="page"/>
      </w:r>
    </w:p>
    <w:p>
      <w:pPr>
        <w:spacing w:after="320" w:before="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B894"/>
          <w:spacing w:val="150"/>
          <w:sz w:val="20"/>
          <w:szCs w:val="20"/>
        </w:rPr>
        <w:t xml:space="preserve">QUERY 01</w:t>
      </w:r>
    </w:p>
    <w:p>
      <w:pPr>
        <w:spacing w:after="280"/>
      </w:pPr>
      <w:r>
        <w:rPr>
          <w:rFonts w:ascii="Arial" w:cs="Arial" w:eastAsia="Arial" w:hAnsi="Arial"/>
          <w:b/>
          <w:bCs/>
          <w:color w:val="1E272E"/>
          <w:sz w:val="36"/>
          <w:szCs w:val="36"/>
        </w:rPr>
        <w:t xml:space="preserve">Identifying Products Needing Multiple Restock Trips</w:t>
      </w:r>
    </w:p>
    <w:p>
      <w:pPr>
        <w:pBdr>
          <w:bottom w:val="single" w:color="DDDDDD" w:sz="4"/>
        </w:pBdr>
        <w:spacing w:after="0" w:before="0"/>
      </w:pPr>
      <w:r>
        <w:t xml:space="preserve"/>
      </w:r>
    </w:p>
    <w:p>
      <w:pPr>
        <w:spacing w:after="28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00B894"/>
          <w:spacing w:val="120"/>
          <w:sz w:val="18"/>
          <w:szCs w:val="18"/>
        </w:rPr>
        <w:t xml:space="preserve">WHY THIS QUERY</w:t>
      </w:r>
    </w:p>
    <w:p>
      <w:pPr>
        <w:spacing w:after="140" w:before="0"/>
      </w:pPr>
      <w:r>
        <w:t xml:space="preserve"/>
      </w:r>
    </w:p>
    <w:p>
      <w:pPr>
        <w:spacing w:after="360"/>
        <w:ind w:left="10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The dashboard showed 32 cases where restocking needed 3+ transport cycles. This query calculates exactly how many trips each product required — exposing which products are most operationally expensive to restock.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00B894"/>
          <w:spacing w:val="120"/>
          <w:sz w:val="18"/>
          <w:szCs w:val="18"/>
        </w:rPr>
        <w:t xml:space="preserve">SQL</w:t>
      </w:r>
    </w:p>
    <w:p>
      <w:pPr>
        <w:spacing w:after="140" w:before="0"/>
      </w:pPr>
      <w:r>
        <w:t xml:space="preserve"/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SELECT *,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  CASE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    WHEN `Quantity_in_Stock_liters&amp;kg`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         &lt;= `Minimum_Stock_Threshold_liters&amp;kg`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    AND  `Quantity_in_Stock_liters&amp;kg`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         + (`Reorder_Quantity_liters&amp;kg`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         * CEIL((`Minimum_Stock_Threshold_liters&amp;kg`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         - `Quantity_in_Stock_liters&amp;kg`)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         / `Reorder_Quantity_liters&amp;kg`))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         &gt; `Minimum_Stock_Threshold_liters&amp;kg`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    THEN CEIL((`Minimum_Stock_Threshold_liters&amp;kg`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         - `Quantity_in_Stock_liters&amp;kg`)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         / `Reorder_Quantity_liters&amp;kg`)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    ELSE 0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  END AS transport_cycles_needed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FROM `supplychain.dairy`</w:t>
      </w:r>
    </w:p>
    <w:p>
      <w:pPr>
        <w:spacing w:after="36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00B894"/>
          <w:spacing w:val="120"/>
          <w:sz w:val="18"/>
          <w:szCs w:val="18"/>
        </w:rPr>
        <w:t xml:space="preserve">QUERY RESULT</w:t>
      </w:r>
    </w:p>
    <w:p>
      <w:pPr>
        <w:spacing w:after="160" w:before="0"/>
      </w:pPr>
      <w:r>
        <w:t xml:space="preserve"/>
      </w:r>
    </w:p>
    <w:p>
      <w:pPr>
        <w:spacing w:after="360" w:before="100"/>
        <w:jc w:val="center"/>
      </w:pPr>
      <w:r>
        <w:drawing>
          <wp:inline distT="0" distB="0" distL="0" distR="0">
            <wp:extent cx="5334000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00B894"/>
          <w:spacing w:val="120"/>
          <w:sz w:val="18"/>
          <w:szCs w:val="18"/>
        </w:rPr>
        <w:t xml:space="preserve">KEY INSIGHT</w:t>
      </w:r>
    </w:p>
    <w:p>
      <w:pPr>
        <w:spacing w:after="140" w:before="0"/>
      </w:pPr>
      <w:r>
        <w:t xml:space="preserve"/>
      </w:r>
    </w:p>
    <w:p>
      <w:pPr>
        <w:pBdr>
          <w:left w:val="single" w:color="00B894" w:sz="16"/>
        </w:pBdr>
        <w:shd w:fill="E8FDF9" w:color="auto" w:val="clear"/>
        <w:spacing w:after="160" w:before="160"/>
        <w:ind w:left="240" w:right="240"/>
      </w:pPr>
      <w:r>
        <w:rPr>
          <w:rFonts w:ascii="Arial" w:cs="Arial" w:eastAsia="Arial" w:hAnsi="Arial"/>
          <w:b/>
          <w:bCs/>
          <w:color w:val="1E272E"/>
          <w:sz w:val="22"/>
          <w:szCs w:val="22"/>
        </w:rPr>
        <w:t xml:space="preserve">  Products falling below minimum threshold trigger multiple restock cycles. Each additional cycle adds cold-chain cost and increases expiry exposure window.</w:t>
      </w:r>
    </w:p>
    <w:p>
      <w:r>
        <w:br w:type="page"/>
      </w:r>
    </w:p>
    <w:p>
      <w:pPr>
        <w:spacing w:after="320" w:before="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B894"/>
          <w:spacing w:val="150"/>
          <w:sz w:val="20"/>
          <w:szCs w:val="20"/>
        </w:rPr>
        <w:t xml:space="preserve">QUERY 02</w:t>
      </w:r>
    </w:p>
    <w:p>
      <w:pPr>
        <w:spacing w:after="280"/>
      </w:pPr>
      <w:r>
        <w:rPr>
          <w:rFonts w:ascii="Arial" w:cs="Arial" w:eastAsia="Arial" w:hAnsi="Arial"/>
          <w:b/>
          <w:bCs/>
          <w:color w:val="1E272E"/>
          <w:sz w:val="36"/>
          <w:szCs w:val="36"/>
        </w:rPr>
        <w:t xml:space="preserve">Which Products Need 2+ Transport Cycles Most Often?</w:t>
      </w:r>
    </w:p>
    <w:p>
      <w:pPr>
        <w:pBdr>
          <w:bottom w:val="single" w:color="DDDDDD" w:sz="4"/>
        </w:pBdr>
        <w:spacing w:after="0" w:before="0"/>
      </w:pPr>
      <w:r>
        <w:t xml:space="preserve"/>
      </w:r>
    </w:p>
    <w:p>
      <w:pPr>
        <w:spacing w:after="28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00B894"/>
          <w:spacing w:val="120"/>
          <w:sz w:val="18"/>
          <w:szCs w:val="18"/>
        </w:rPr>
        <w:t xml:space="preserve">WHY THIS QUERY</w:t>
      </w:r>
    </w:p>
    <w:p>
      <w:pPr>
        <w:spacing w:after="140" w:before="0"/>
      </w:pPr>
      <w:r>
        <w:t xml:space="preserve"/>
      </w:r>
    </w:p>
    <w:p>
      <w:pPr>
        <w:spacing w:after="360"/>
        <w:ind w:left="10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Extends Query 01 using a CTE to rank products by frequency of 2+ cycle restocking events. This identifies the highest operational cost products from a logistics perspective.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00B894"/>
          <w:spacing w:val="120"/>
          <w:sz w:val="18"/>
          <w:szCs w:val="18"/>
        </w:rPr>
        <w:t xml:space="preserve">SQL</w:t>
      </w:r>
    </w:p>
    <w:p>
      <w:pPr>
        <w:spacing w:after="140" w:before="0"/>
      </w:pPr>
      <w:r>
        <w:t xml:space="preserve"/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WITH cycle AS (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  SELECT *,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    CASE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      WHEN `Quantity_in_Stock_liters&amp;kg`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           &lt;= `Minimum_Stock_Threshold_liters&amp;kg`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      THEN CEIL((`Minimum_Stock_Threshold_liters&amp;kg`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           - `Quantity_in_Stock_liters&amp;kg`)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           / `Reorder_Quantity_liters&amp;kg`)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      ELSE 0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    END AS transport_cycles_needed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  FROM `supplychain.dairy`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)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SELECT Product_Name,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       COUNT(*) AS transport_count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FROM   cycle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WHERE  transport_cycles_needed &gt;= 2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GROUP  BY 1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ORDER  BY 2 DESC</w:t>
      </w:r>
    </w:p>
    <w:p>
      <w:pPr>
        <w:spacing w:after="36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00B894"/>
          <w:spacing w:val="120"/>
          <w:sz w:val="18"/>
          <w:szCs w:val="18"/>
        </w:rPr>
        <w:t xml:space="preserve">QUERY RESULT</w:t>
      </w:r>
    </w:p>
    <w:p>
      <w:pPr>
        <w:spacing w:after="160" w:before="0"/>
      </w:pPr>
      <w:r>
        <w:t xml:space="preserve"/>
      </w:r>
    </w:p>
    <w:p>
      <w:pPr>
        <w:spacing w:after="360" w:before="100"/>
        <w:jc w:val="center"/>
      </w:pPr>
      <w:r>
        <w:drawing>
          <wp:inline distT="0" distB="0" distL="0" distR="0">
            <wp:extent cx="4940618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618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00B894"/>
          <w:spacing w:val="120"/>
          <w:sz w:val="18"/>
          <w:szCs w:val="18"/>
        </w:rPr>
        <w:t xml:space="preserve">KEY INSIGHT</w:t>
      </w:r>
    </w:p>
    <w:p>
      <w:pPr>
        <w:spacing w:after="140" w:before="0"/>
      </w:pPr>
      <w:r>
        <w:t xml:space="preserve"/>
      </w:r>
    </w:p>
    <w:p>
      <w:pPr>
        <w:pBdr>
          <w:left w:val="single" w:color="00B894" w:sz="16"/>
        </w:pBdr>
        <w:shd w:fill="E8FDF9" w:color="auto" w:val="clear"/>
        <w:spacing w:after="160" w:before="160"/>
        <w:ind w:left="240" w:right="240"/>
      </w:pPr>
      <w:r>
        <w:rPr>
          <w:rFonts w:ascii="Arial" w:cs="Arial" w:eastAsia="Arial" w:hAnsi="Arial"/>
          <w:b/>
          <w:bCs/>
          <w:color w:val="1E272E"/>
          <w:sz w:val="22"/>
          <w:szCs w:val="22"/>
        </w:rPr>
        <w:t xml:space="preserve">  Ghee (18), Curd (15), and Yogurt (13) are the most transport-intensive products. These three should be prioritised in any reorder planning optimisation.</w:t>
      </w:r>
    </w:p>
    <w:p>
      <w:r>
        <w:br w:type="page"/>
      </w:r>
    </w:p>
    <w:p>
      <w:pPr>
        <w:spacing w:after="320" w:before="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B894"/>
          <w:spacing w:val="150"/>
          <w:sz w:val="20"/>
          <w:szCs w:val="20"/>
        </w:rPr>
        <w:t xml:space="preserve">QUERY 03</w:t>
      </w:r>
    </w:p>
    <w:p>
      <w:pPr>
        <w:spacing w:after="280"/>
      </w:pPr>
      <w:r>
        <w:rPr>
          <w:rFonts w:ascii="Arial" w:cs="Arial" w:eastAsia="Arial" w:hAnsi="Arial"/>
          <w:b/>
          <w:bCs/>
          <w:color w:val="1E272E"/>
          <w:sz w:val="36"/>
          <w:szCs w:val="36"/>
        </w:rPr>
        <w:t xml:space="preserve">Expiry Rate by Storage Type</w:t>
      </w:r>
    </w:p>
    <w:p>
      <w:pPr>
        <w:pBdr>
          <w:bottom w:val="single" w:color="DDDDDD" w:sz="4"/>
        </w:pBdr>
        <w:spacing w:after="0" w:before="0"/>
      </w:pPr>
      <w:r>
        <w:t xml:space="preserve"/>
      </w:r>
    </w:p>
    <w:p>
      <w:pPr>
        <w:spacing w:after="28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00B894"/>
          <w:spacing w:val="120"/>
          <w:sz w:val="18"/>
          <w:szCs w:val="18"/>
        </w:rPr>
        <w:t xml:space="preserve">WHY THIS QUERY</w:t>
      </w:r>
    </w:p>
    <w:p>
      <w:pPr>
        <w:spacing w:after="140" w:before="0"/>
      </w:pPr>
      <w:r>
        <w:t xml:space="preserve"/>
      </w:r>
    </w:p>
    <w:p>
      <w:pPr>
        <w:spacing w:after="360"/>
        <w:ind w:left="10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The dashboard showed Refrigerated storage with the highest absolute failure count (715). But volume can be misleading. This query calculates the percentage of deliveries that expired within each storage type — a more honest measure of failure rate.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00B894"/>
          <w:spacing w:val="120"/>
          <w:sz w:val="18"/>
          <w:szCs w:val="18"/>
        </w:rPr>
        <w:t xml:space="preserve">SQL</w:t>
      </w:r>
    </w:p>
    <w:p>
      <w:pPr>
        <w:spacing w:after="140" w:before="0"/>
      </w:pPr>
      <w:r>
        <w:t xml:space="preserve"/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SELECT Storage_Condition,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  ROUND(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    SUM(CASE WHEN Deliver_expire_product IS TRUE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        THEN 1 ELSE 0 END) * 100 / COUNT(*),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  2) AS expiry_delivery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FROM `supplychain.dairy`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GROUP BY 1</w:t>
      </w:r>
    </w:p>
    <w:p>
      <w:pPr>
        <w:spacing w:after="36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00B894"/>
          <w:spacing w:val="120"/>
          <w:sz w:val="18"/>
          <w:szCs w:val="18"/>
        </w:rPr>
        <w:t xml:space="preserve">QUERY RESULT</w:t>
      </w:r>
    </w:p>
    <w:p>
      <w:pPr>
        <w:spacing w:after="160" w:before="0"/>
      </w:pPr>
      <w:r>
        <w:t xml:space="preserve"/>
      </w:r>
    </w:p>
    <w:p>
      <w:pPr>
        <w:spacing w:after="360" w:before="100"/>
        <w:jc w:val="center"/>
      </w:pPr>
      <w:r>
        <w:drawing>
          <wp:inline distT="0" distB="0" distL="0" distR="0">
            <wp:extent cx="4683633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3633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00B894"/>
          <w:spacing w:val="120"/>
          <w:sz w:val="18"/>
          <w:szCs w:val="18"/>
        </w:rPr>
        <w:t xml:space="preserve">KEY INSIGHT</w:t>
      </w:r>
    </w:p>
    <w:p>
      <w:pPr>
        <w:spacing w:after="140" w:before="0"/>
      </w:pPr>
      <w:r>
        <w:t xml:space="preserve"/>
      </w:r>
    </w:p>
    <w:p>
      <w:pPr>
        <w:pBdr>
          <w:left w:val="single" w:color="00B894" w:sz="16"/>
        </w:pBdr>
        <w:shd w:fill="E8FDF9" w:color="auto" w:val="clear"/>
        <w:spacing w:after="160" w:before="160"/>
        <w:ind w:left="240" w:right="240"/>
      </w:pPr>
      <w:r>
        <w:rPr>
          <w:rFonts w:ascii="Arial" w:cs="Arial" w:eastAsia="Arial" w:hAnsi="Arial"/>
          <w:b/>
          <w:bCs/>
          <w:color w:val="1E272E"/>
          <w:sz w:val="22"/>
          <w:szCs w:val="22"/>
        </w:rPr>
        <w:t xml:space="preserve">  Frozen storage has a 54.2% expiry rate — the genuine high-risk category. Refrigerated's high absolute count (715) is driven by volume, not failure rate.</w:t>
      </w:r>
    </w:p>
    <w:p>
      <w:pPr>
        <w:spacing w:after="160" w:before="0"/>
      </w:pPr>
      <w:r>
        <w:t xml:space="preserve"/>
      </w:r>
    </w:p>
    <w:p>
      <w:pPr>
        <w:spacing w:after="100"/>
        <w:ind w:left="100"/>
      </w:pP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Note: Ambient storage shows 100% expiry rate, but this is because Ambient only stores Ghee — a product with very long shelf life. These are not true expiry failures but a data segmentation artefact.</w:t>
      </w:r>
    </w:p>
    <w:p>
      <w:r>
        <w:br w:type="page"/>
      </w:r>
    </w:p>
    <w:p>
      <w:pPr>
        <w:spacing w:after="320" w:before="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B894"/>
          <w:spacing w:val="150"/>
          <w:sz w:val="20"/>
          <w:szCs w:val="20"/>
        </w:rPr>
        <w:t xml:space="preserve">QUERY 04</w:t>
      </w:r>
    </w:p>
    <w:p>
      <w:pPr>
        <w:spacing w:after="280"/>
      </w:pPr>
      <w:r>
        <w:rPr>
          <w:rFonts w:ascii="Arial" w:cs="Arial" w:eastAsia="Arial" w:hAnsi="Arial"/>
          <w:b/>
          <w:bCs/>
          <w:color w:val="1E272E"/>
          <w:sz w:val="36"/>
          <w:szCs w:val="36"/>
        </w:rPr>
        <w:t xml:space="preserve">Frozen Storage — Which Products Expired Most?</w:t>
      </w:r>
    </w:p>
    <w:p>
      <w:pPr>
        <w:pBdr>
          <w:bottom w:val="single" w:color="DDDDDD" w:sz="4"/>
        </w:pBdr>
        <w:spacing w:after="0" w:before="0"/>
      </w:pPr>
      <w:r>
        <w:t xml:space="preserve"/>
      </w:r>
    </w:p>
    <w:p>
      <w:pPr>
        <w:spacing w:after="28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00B894"/>
          <w:spacing w:val="120"/>
          <w:sz w:val="18"/>
          <w:szCs w:val="18"/>
        </w:rPr>
        <w:t xml:space="preserve">WHY THIS QUERY</w:t>
      </w:r>
    </w:p>
    <w:p>
      <w:pPr>
        <w:spacing w:after="140" w:before="0"/>
      </w:pPr>
      <w:r>
        <w:t xml:space="preserve"/>
      </w:r>
    </w:p>
    <w:p>
      <w:pPr>
        <w:spacing w:after="360"/>
        <w:ind w:left="10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Frozen storage has a 54.2% expiry rate. This query drills into Frozen specifically to identify which products are driving that failure — enabling targeted corrective action.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00B894"/>
          <w:spacing w:val="120"/>
          <w:sz w:val="18"/>
          <w:szCs w:val="18"/>
        </w:rPr>
        <w:t xml:space="preserve">SQL</w:t>
      </w:r>
    </w:p>
    <w:p>
      <w:pPr>
        <w:spacing w:after="140" w:before="0"/>
      </w:pPr>
      <w:r>
        <w:t xml:space="preserve"/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SELECT Product_Name,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       COUNT(*) AS expiry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FROM   `supplychain.dairy`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WHERE  Storage_Condition = 'Frozen'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  AND  Deliver_expire_product IS TRUE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GROUP  BY 1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ORDER  BY 2 DESC</w:t>
      </w:r>
    </w:p>
    <w:p>
      <w:pPr>
        <w:spacing w:after="36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00B894"/>
          <w:spacing w:val="120"/>
          <w:sz w:val="18"/>
          <w:szCs w:val="18"/>
        </w:rPr>
        <w:t xml:space="preserve">QUERY RESULT</w:t>
      </w:r>
    </w:p>
    <w:p>
      <w:pPr>
        <w:spacing w:after="160" w:before="0"/>
      </w:pPr>
      <w:r>
        <w:t xml:space="preserve"/>
      </w:r>
    </w:p>
    <w:p>
      <w:pPr>
        <w:spacing w:after="360" w:before="100"/>
        <w:jc w:val="center"/>
      </w:pPr>
      <w:r>
        <w:drawing>
          <wp:inline distT="0" distB="0" distL="0" distR="0">
            <wp:extent cx="2562606" cy="1885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606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00B894"/>
          <w:spacing w:val="120"/>
          <w:sz w:val="18"/>
          <w:szCs w:val="18"/>
        </w:rPr>
        <w:t xml:space="preserve">KEY INSIGHT</w:t>
      </w:r>
    </w:p>
    <w:p>
      <w:pPr>
        <w:spacing w:after="140" w:before="0"/>
      </w:pPr>
      <w:r>
        <w:t xml:space="preserve"/>
      </w:r>
    </w:p>
    <w:p>
      <w:pPr>
        <w:pBdr>
          <w:left w:val="single" w:color="00B894" w:sz="16"/>
        </w:pBdr>
        <w:shd w:fill="E8FDF9" w:color="auto" w:val="clear"/>
        <w:spacing w:after="160" w:before="160"/>
        <w:ind w:left="240" w:right="240"/>
      </w:pPr>
      <w:r>
        <w:rPr>
          <w:rFonts w:ascii="Arial" w:cs="Arial" w:eastAsia="Arial" w:hAnsi="Arial"/>
          <w:b/>
          <w:bCs/>
          <w:color w:val="1E272E"/>
          <w:sz w:val="22"/>
          <w:szCs w:val="22"/>
        </w:rPr>
        <w:t xml:space="preserve">  Cross-validates Query 03 at product level within frozen storage. The expiry concentration within Frozen confirms it as the priority storage type for cold-chain intervention.</w:t>
      </w:r>
    </w:p>
    <w:p>
      <w:r>
        <w:br w:type="page"/>
      </w:r>
    </w:p>
    <w:p>
      <w:pPr>
        <w:spacing w:after="320" w:before="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B894"/>
          <w:spacing w:val="150"/>
          <w:sz w:val="20"/>
          <w:szCs w:val="20"/>
        </w:rPr>
        <w:t xml:space="preserve">QUERY 05</w:t>
      </w:r>
    </w:p>
    <w:p>
      <w:pPr>
        <w:spacing w:after="280"/>
      </w:pPr>
      <w:r>
        <w:rPr>
          <w:rFonts w:ascii="Arial" w:cs="Arial" w:eastAsia="Arial" w:hAnsi="Arial"/>
          <w:b/>
          <w:bCs/>
          <w:color w:val="1E272E"/>
          <w:sz w:val="36"/>
          <w:szCs w:val="36"/>
        </w:rPr>
        <w:t xml:space="preserve">Reorder Quantity — Expired vs On-Time Deliveries</w:t>
      </w:r>
    </w:p>
    <w:p>
      <w:pPr>
        <w:pBdr>
          <w:bottom w:val="single" w:color="DDDDDD" w:sz="4"/>
        </w:pBdr>
        <w:spacing w:after="0" w:before="0"/>
      </w:pPr>
      <w:r>
        <w:t xml:space="preserve"/>
      </w:r>
    </w:p>
    <w:p>
      <w:pPr>
        <w:spacing w:after="28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00B894"/>
          <w:spacing w:val="120"/>
          <w:sz w:val="18"/>
          <w:szCs w:val="18"/>
        </w:rPr>
        <w:t xml:space="preserve">WHY THIS QUERY</w:t>
      </w:r>
    </w:p>
    <w:p>
      <w:pPr>
        <w:spacing w:after="140" w:before="0"/>
      </w:pPr>
      <w:r>
        <w:t xml:space="preserve"/>
      </w:r>
    </w:p>
    <w:p>
      <w:pPr>
        <w:spacing w:after="360"/>
        <w:ind w:left="10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A natural hypothesis: were expired deliveries ordered in larger quantities, causing stock to sit longer and expire? This query directly tests that hypothesis by comparing average reorder quantities between expired and on-time deliveries.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00B894"/>
          <w:spacing w:val="120"/>
          <w:sz w:val="18"/>
          <w:szCs w:val="18"/>
        </w:rPr>
        <w:t xml:space="preserve">SQL</w:t>
      </w:r>
    </w:p>
    <w:p>
      <w:pPr>
        <w:spacing w:after="140" w:before="0"/>
      </w:pPr>
      <w:r>
        <w:t xml:space="preserve"/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SELECT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  ROUND(AVG(CASE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    WHEN Deliver_expire_product IS TRUE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    THEN `Reorder_Quantity_liters&amp;kg`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  END), 2) AS avg_reorder_expiry_delivery,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  ROUND(AVG(CASE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    WHEN Deliver_expire_product IS FALSE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    THEN `Reorder_Quantity_liters&amp;kg`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  END), 2) AS avg_reorder_ontime_delivery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FROM `supplychain.dairy`</w:t>
      </w:r>
    </w:p>
    <w:p>
      <w:pPr>
        <w:spacing w:after="36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00B894"/>
          <w:spacing w:val="120"/>
          <w:sz w:val="18"/>
          <w:szCs w:val="18"/>
        </w:rPr>
        <w:t xml:space="preserve">QUERY RESULT</w:t>
      </w:r>
    </w:p>
    <w:p>
      <w:pPr>
        <w:spacing w:after="160" w:before="0"/>
      </w:pPr>
      <w:r>
        <w:t xml:space="preserve"/>
      </w:r>
    </w:p>
    <w:p>
      <w:pPr>
        <w:spacing w:after="360" w:before="100"/>
        <w:jc w:val="center"/>
      </w:pPr>
      <w:r>
        <w:drawing>
          <wp:inline distT="0" distB="0" distL="0" distR="0">
            <wp:extent cx="3677412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412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00B894"/>
          <w:spacing w:val="120"/>
          <w:sz w:val="18"/>
          <w:szCs w:val="18"/>
        </w:rPr>
        <w:t xml:space="preserve">KEY INSIGHT</w:t>
      </w:r>
    </w:p>
    <w:p>
      <w:pPr>
        <w:spacing w:after="140" w:before="0"/>
      </w:pPr>
      <w:r>
        <w:t xml:space="preserve"/>
      </w:r>
    </w:p>
    <w:p>
      <w:pPr>
        <w:pBdr>
          <w:left w:val="single" w:color="00B894" w:sz="16"/>
        </w:pBdr>
        <w:shd w:fill="E8FDF9" w:color="auto" w:val="clear"/>
        <w:spacing w:after="160" w:before="160"/>
        <w:ind w:left="240" w:right="240"/>
      </w:pPr>
      <w:r>
        <w:rPr>
          <w:rFonts w:ascii="Arial" w:cs="Arial" w:eastAsia="Arial" w:hAnsi="Arial"/>
          <w:b/>
          <w:bCs/>
          <w:color w:val="1E272E"/>
          <w:sz w:val="22"/>
          <w:szCs w:val="22"/>
        </w:rPr>
        <w:t xml:space="preserve">  Expired (107.33) vs On-time (110.33) — virtually identical. Reorder quantity is definitively NOT the root cause of expiry. The problem lies in delivery timing and storage management.</w:t>
      </w:r>
    </w:p>
    <w:p>
      <w:r>
        <w:br w:type="page"/>
      </w:r>
    </w:p>
    <w:p>
      <w:pPr>
        <w:spacing w:after="320" w:before="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B894"/>
          <w:spacing w:val="150"/>
          <w:sz w:val="20"/>
          <w:szCs w:val="20"/>
        </w:rPr>
        <w:t xml:space="preserve">QUERY 06</w:t>
      </w:r>
    </w:p>
    <w:p>
      <w:pPr>
        <w:spacing w:after="280"/>
      </w:pPr>
      <w:r>
        <w:rPr>
          <w:rFonts w:ascii="Arial" w:cs="Arial" w:eastAsia="Arial" w:hAnsi="Arial"/>
          <w:b/>
          <w:bCs/>
          <w:color w:val="1E272E"/>
          <w:sz w:val="36"/>
          <w:szCs w:val="36"/>
        </w:rPr>
        <w:t xml:space="preserve">Stock Level vs Minimum Threshold (On-Time Deliveries)</w:t>
      </w:r>
    </w:p>
    <w:p>
      <w:pPr>
        <w:pBdr>
          <w:bottom w:val="single" w:color="DDDDDD" w:sz="4"/>
        </w:pBdr>
        <w:spacing w:after="0" w:before="0"/>
      </w:pPr>
      <w:r>
        <w:t xml:space="preserve"/>
      </w:r>
    </w:p>
    <w:p>
      <w:pPr>
        <w:spacing w:after="28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00B894"/>
          <w:spacing w:val="120"/>
          <w:sz w:val="18"/>
          <w:szCs w:val="18"/>
        </w:rPr>
        <w:t xml:space="preserve">WHY THIS QUERY</w:t>
      </w:r>
    </w:p>
    <w:p>
      <w:pPr>
        <w:spacing w:after="140" w:before="0"/>
      </w:pPr>
      <w:r>
        <w:t xml:space="preserve"/>
      </w:r>
    </w:p>
    <w:p>
      <w:pPr>
        <w:spacing w:after="360"/>
        <w:ind w:left="10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Having ruled out reorder quantity, we examine stock behaviour in deliveries that arrived on time. How much stock was being held relative to the minimum required threshold?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00B894"/>
          <w:spacing w:val="120"/>
          <w:sz w:val="18"/>
          <w:szCs w:val="18"/>
        </w:rPr>
        <w:t xml:space="preserve">SQL</w:t>
      </w:r>
    </w:p>
    <w:p>
      <w:pPr>
        <w:spacing w:after="140" w:before="0"/>
      </w:pPr>
      <w:r>
        <w:t xml:space="preserve"/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SELECT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  ROUND(AVG(`Quantity_in_Stock_liters&amp;kg`), 2)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    AS avg_quantity_in_stock,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  ROUND(AVG(`Minimum_Stock_Threshold_liters&amp;kg`), 2)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    AS avg_minimum_stock_threshold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FROM `supplychain.dairy`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WHERE Deliver_expire_product IS FALSE</w:t>
      </w:r>
    </w:p>
    <w:p>
      <w:pPr>
        <w:spacing w:after="36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00B894"/>
          <w:spacing w:val="120"/>
          <w:sz w:val="18"/>
          <w:szCs w:val="18"/>
        </w:rPr>
        <w:t xml:space="preserve">QUERY RESULT</w:t>
      </w:r>
    </w:p>
    <w:p>
      <w:pPr>
        <w:spacing w:after="160" w:before="0"/>
      </w:pPr>
      <w:r>
        <w:t xml:space="preserve"/>
      </w:r>
    </w:p>
    <w:p>
      <w:pPr>
        <w:spacing w:after="360" w:before="100"/>
        <w:jc w:val="center"/>
      </w:pPr>
      <w:r>
        <w:drawing>
          <wp:inline distT="0" distB="0" distL="0" distR="0">
            <wp:extent cx="2508313" cy="1190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313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00B894"/>
          <w:spacing w:val="120"/>
          <w:sz w:val="18"/>
          <w:szCs w:val="18"/>
        </w:rPr>
        <w:t xml:space="preserve">KEY INSIGHT</w:t>
      </w:r>
    </w:p>
    <w:p>
      <w:pPr>
        <w:spacing w:after="140" w:before="0"/>
      </w:pPr>
      <w:r>
        <w:t xml:space="preserve"/>
      </w:r>
    </w:p>
    <w:p>
      <w:pPr>
        <w:pBdr>
          <w:left w:val="single" w:color="00B894" w:sz="16"/>
        </w:pBdr>
        <w:shd w:fill="E8FDF9" w:color="auto" w:val="clear"/>
        <w:spacing w:after="160" w:before="160"/>
        <w:ind w:left="240" w:right="240"/>
      </w:pPr>
      <w:r>
        <w:rPr>
          <w:rFonts w:ascii="Arial" w:cs="Arial" w:eastAsia="Arial" w:hAnsi="Arial"/>
          <w:b/>
          <w:bCs/>
          <w:color w:val="1E272E"/>
          <w:sz w:val="22"/>
          <w:szCs w:val="22"/>
        </w:rPr>
        <w:t xml:space="preserve">  On-time deliveries held avg stock of 250.07 against a minimum threshold of only 55.98 — overstocked by 4.5x. Holding excess cold stock for extended periods directly drives expiry risk.</w:t>
      </w:r>
    </w:p>
    <w:p>
      <w:r>
        <w:br w:type="page"/>
      </w:r>
    </w:p>
    <w:p>
      <w:pPr>
        <w:spacing w:after="320" w:before="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B894"/>
          <w:spacing w:val="150"/>
          <w:sz w:val="20"/>
          <w:szCs w:val="20"/>
        </w:rPr>
        <w:t xml:space="preserve">QUERY 07</w:t>
      </w:r>
    </w:p>
    <w:p>
      <w:pPr>
        <w:spacing w:after="280"/>
      </w:pPr>
      <w:r>
        <w:rPr>
          <w:rFonts w:ascii="Arial" w:cs="Arial" w:eastAsia="Arial" w:hAnsi="Arial"/>
          <w:b/>
          <w:bCs/>
          <w:color w:val="1E272E"/>
          <w:sz w:val="36"/>
          <w:szCs w:val="36"/>
        </w:rPr>
        <w:t xml:space="preserve">Avg Production-to-Sale Gap vs Avg Shelf Life</w:t>
      </w:r>
    </w:p>
    <w:p>
      <w:pPr>
        <w:pBdr>
          <w:bottom w:val="single" w:color="DDDDDD" w:sz="4"/>
        </w:pBdr>
        <w:spacing w:after="0" w:before="0"/>
      </w:pPr>
      <w:r>
        <w:t xml:space="preserve"/>
      </w:r>
    </w:p>
    <w:p>
      <w:pPr>
        <w:spacing w:after="28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00B894"/>
          <w:spacing w:val="120"/>
          <w:sz w:val="18"/>
          <w:szCs w:val="18"/>
        </w:rPr>
        <w:t xml:space="preserve">WHY THIS QUERY</w:t>
      </w:r>
    </w:p>
    <w:p>
      <w:pPr>
        <w:spacing w:after="140" w:before="0"/>
      </w:pPr>
      <w:r>
        <w:t xml:space="preserve"/>
      </w:r>
    </w:p>
    <w:p>
      <w:pPr>
        <w:spacing w:after="360"/>
        <w:ind w:left="10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The most structurally important query. It compares how long products take to move from production to the customer against their actual shelf life — revealing whether the supply chain is fast enough for the products it handles.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00B894"/>
          <w:spacing w:val="120"/>
          <w:sz w:val="18"/>
          <w:szCs w:val="18"/>
        </w:rPr>
        <w:t xml:space="preserve">SQL</w:t>
      </w:r>
    </w:p>
    <w:p>
      <w:pPr>
        <w:spacing w:after="140" w:before="0"/>
      </w:pPr>
      <w:r>
        <w:t xml:space="preserve"/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SELECT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  ROUND(AVG(DATE_DIFF(Date,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        Production_Date, DAY)), 0) AS avg_gap,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  ROUND(AVG(Shelf_Life_days), 0)   AS avg_shelf_life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FROM `supplychain.dairy`</w:t>
      </w:r>
    </w:p>
    <w:p>
      <w:pPr>
        <w:spacing w:after="36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00B894"/>
          <w:spacing w:val="120"/>
          <w:sz w:val="18"/>
          <w:szCs w:val="18"/>
        </w:rPr>
        <w:t xml:space="preserve">QUERY RESULT</w:t>
      </w:r>
    </w:p>
    <w:p>
      <w:pPr>
        <w:spacing w:after="160" w:before="0"/>
      </w:pPr>
      <w:r>
        <w:t xml:space="preserve"/>
      </w:r>
    </w:p>
    <w:p>
      <w:pPr>
        <w:spacing w:after="360" w:before="100"/>
        <w:jc w:val="center"/>
      </w:pPr>
      <w:r>
        <w:drawing>
          <wp:inline distT="0" distB="0" distL="0" distR="0">
            <wp:extent cx="2606040" cy="1123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04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00B894"/>
          <w:spacing w:val="120"/>
          <w:sz w:val="18"/>
          <w:szCs w:val="18"/>
        </w:rPr>
        <w:t xml:space="preserve">KEY INSIGHT</w:t>
      </w:r>
    </w:p>
    <w:p>
      <w:pPr>
        <w:spacing w:after="140" w:before="0"/>
      </w:pPr>
      <w:r>
        <w:t xml:space="preserve"/>
      </w:r>
    </w:p>
    <w:p>
      <w:pPr>
        <w:pBdr>
          <w:left w:val="single" w:color="00B894" w:sz="16"/>
        </w:pBdr>
        <w:shd w:fill="E8FDF9" w:color="auto" w:val="clear"/>
        <w:spacing w:after="160" w:before="160"/>
        <w:ind w:left="240" w:right="240"/>
      </w:pPr>
      <w:r>
        <w:rPr>
          <w:rFonts w:ascii="Arial" w:cs="Arial" w:eastAsia="Arial" w:hAnsi="Arial"/>
          <w:b/>
          <w:bCs/>
          <w:color w:val="1E272E"/>
          <w:sz w:val="22"/>
          <w:szCs w:val="22"/>
        </w:rPr>
        <w:t xml:space="preserve">  Avg gap from production to sale = 31 days. Avg shelf life = 29 days. The supply chain takes longer to deliver products than the products can survive. This is the structural root cause of expiry.</w:t>
      </w:r>
    </w:p>
    <w:p>
      <w:r>
        <w:br w:type="page"/>
      </w:r>
    </w:p>
    <w:p>
      <w:pPr>
        <w:spacing w:after="320" w:before="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B894"/>
          <w:spacing w:val="150"/>
          <w:sz w:val="20"/>
          <w:szCs w:val="20"/>
        </w:rPr>
        <w:t xml:space="preserve">QUERY 08</w:t>
      </w:r>
    </w:p>
    <w:p>
      <w:pPr>
        <w:spacing w:after="280"/>
      </w:pPr>
      <w:r>
        <w:rPr>
          <w:rFonts w:ascii="Arial" w:cs="Arial" w:eastAsia="Arial" w:hAnsi="Arial"/>
          <w:b/>
          <w:bCs/>
          <w:color w:val="1E272E"/>
          <w:sz w:val="36"/>
          <w:szCs w:val="36"/>
        </w:rPr>
        <w:t xml:space="preserve">Stock Levels by Product</w:t>
      </w:r>
    </w:p>
    <w:p>
      <w:pPr>
        <w:pBdr>
          <w:bottom w:val="single" w:color="DDDDDD" w:sz="4"/>
        </w:pBdr>
        <w:spacing w:after="0" w:before="0"/>
      </w:pPr>
      <w:r>
        <w:t xml:space="preserve"/>
      </w:r>
    </w:p>
    <w:p>
      <w:pPr>
        <w:spacing w:after="28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00B894"/>
          <w:spacing w:val="120"/>
          <w:sz w:val="18"/>
          <w:szCs w:val="18"/>
        </w:rPr>
        <w:t xml:space="preserve">WHY THIS QUERY</w:t>
      </w:r>
    </w:p>
    <w:p>
      <w:pPr>
        <w:spacing w:after="140" w:before="0"/>
      </w:pPr>
      <w:r>
        <w:t xml:space="preserve"/>
      </w:r>
    </w:p>
    <w:p>
      <w:pPr>
        <w:spacing w:after="360"/>
        <w:ind w:left="10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Validates the universal overstocking pattern observed in the dashboard (2K overstock count). Breaks down average stock, minimum threshold, and reorder quantity per product — showing which products are most chronically overstocked.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00B894"/>
          <w:spacing w:val="120"/>
          <w:sz w:val="18"/>
          <w:szCs w:val="18"/>
        </w:rPr>
        <w:t xml:space="preserve">SQL</w:t>
      </w:r>
    </w:p>
    <w:p>
      <w:pPr>
        <w:spacing w:after="140" w:before="0"/>
      </w:pPr>
      <w:r>
        <w:t xml:space="preserve"/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SELECT Product_Name,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  ROUND(AVG(`Quantity_in_Stock_liters&amp;kg`), 0)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    AS avg_stock,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  ROUND(AVG(`Minimum_Stock_Threshold_liters&amp;kg`), 0)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    AS avg_min_stock,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  ROUND(AVG(`Reorder_Quantity_liters&amp;kg`), 0)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    AS avg_reorder_stock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FROM `supplychain.dairy`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GROUP BY 1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ORDER BY 2 DESC</w:t>
      </w:r>
    </w:p>
    <w:p>
      <w:pPr>
        <w:spacing w:after="36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00B894"/>
          <w:spacing w:val="120"/>
          <w:sz w:val="18"/>
          <w:szCs w:val="18"/>
        </w:rPr>
        <w:t xml:space="preserve">QUERY RESULT</w:t>
      </w:r>
    </w:p>
    <w:p>
      <w:pPr>
        <w:spacing w:after="160" w:before="0"/>
      </w:pPr>
      <w:r>
        <w:t xml:space="preserve"/>
      </w:r>
    </w:p>
    <w:p>
      <w:pPr>
        <w:spacing w:after="360" w:before="100"/>
        <w:jc w:val="center"/>
      </w:pPr>
      <w:r>
        <w:drawing>
          <wp:inline distT="0" distB="0" distL="0" distR="0">
            <wp:extent cx="3275648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648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00B894"/>
          <w:spacing w:val="120"/>
          <w:sz w:val="18"/>
          <w:szCs w:val="18"/>
        </w:rPr>
        <w:t xml:space="preserve">KEY INSIGHT</w:t>
      </w:r>
    </w:p>
    <w:p>
      <w:pPr>
        <w:spacing w:after="140" w:before="0"/>
      </w:pPr>
      <w:r>
        <w:t xml:space="preserve"/>
      </w:r>
    </w:p>
    <w:p>
      <w:pPr>
        <w:pBdr>
          <w:left w:val="single" w:color="00B894" w:sz="16"/>
        </w:pBdr>
        <w:shd w:fill="E8FDF9" w:color="auto" w:val="clear"/>
        <w:spacing w:after="160" w:before="160"/>
        <w:ind w:left="240" w:right="240"/>
      </w:pPr>
      <w:r>
        <w:rPr>
          <w:rFonts w:ascii="Arial" w:cs="Arial" w:eastAsia="Arial" w:hAnsi="Arial"/>
          <w:b/>
          <w:bCs/>
          <w:color w:val="1E272E"/>
          <w:sz w:val="22"/>
          <w:szCs w:val="22"/>
        </w:rPr>
        <w:t xml:space="preserve">  Every product holds stock 4–5x above its minimum threshold. Curd leads at 279 vs threshold of 57. This universal pattern confirms fixed-quantity reorder cycles — entirely disconnected from actual demand.</w:t>
      </w:r>
    </w:p>
    <w:p>
      <w:r>
        <w:br w:type="page"/>
      </w:r>
    </w:p>
    <w:p>
      <w:pPr>
        <w:spacing w:after="320" w:before="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B894"/>
          <w:spacing w:val="150"/>
          <w:sz w:val="20"/>
          <w:szCs w:val="20"/>
        </w:rPr>
        <w:t xml:space="preserve">QUERY 09</w:t>
      </w:r>
    </w:p>
    <w:p>
      <w:pPr>
        <w:spacing w:after="280"/>
      </w:pPr>
      <w:r>
        <w:rPr>
          <w:rFonts w:ascii="Arial" w:cs="Arial" w:eastAsia="Arial" w:hAnsi="Arial"/>
          <w:b/>
          <w:bCs/>
          <w:color w:val="1E272E"/>
          <w:sz w:val="36"/>
          <w:szCs w:val="36"/>
        </w:rPr>
        <w:t xml:space="preserve">Monthly Sales Volume</w:t>
      </w:r>
    </w:p>
    <w:p>
      <w:pPr>
        <w:pBdr>
          <w:bottom w:val="single" w:color="DDDDDD" w:sz="4"/>
        </w:pBdr>
        <w:spacing w:after="0" w:before="0"/>
      </w:pPr>
      <w:r>
        <w:t xml:space="preserve"/>
      </w:r>
    </w:p>
    <w:p>
      <w:pPr>
        <w:spacing w:after="28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00B894"/>
          <w:spacing w:val="120"/>
          <w:sz w:val="18"/>
          <w:szCs w:val="18"/>
        </w:rPr>
        <w:t xml:space="preserve">WHY THIS QUERY</w:t>
      </w:r>
    </w:p>
    <w:p>
      <w:pPr>
        <w:spacing w:after="140" w:before="0"/>
      </w:pPr>
      <w:r>
        <w:t xml:space="preserve"/>
      </w:r>
    </w:p>
    <w:p>
      <w:pPr>
        <w:spacing w:after="360"/>
        <w:ind w:left="10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Demand seasonality is a prerequisite for building the demand-based reorder strategy recommended in the Optimization Strategy page. This query identifies which months drive peak and trough demand.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00B894"/>
          <w:spacing w:val="120"/>
          <w:sz w:val="18"/>
          <w:szCs w:val="18"/>
        </w:rPr>
        <w:t xml:space="preserve">SQL</w:t>
      </w:r>
    </w:p>
    <w:p>
      <w:pPr>
        <w:spacing w:after="140" w:before="0"/>
      </w:pPr>
      <w:r>
        <w:t xml:space="preserve"/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SELECT EXTRACT(MONTH FROM date) AS month,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       SUM(`Quantity_Sold_liters&amp;kg`) AS quantity_sold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FROM   `supplychain.dairy`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GROUP  BY 1</w:t>
      </w:r>
    </w:p>
    <w:p>
      <w:pPr>
        <w:shd w:fill="1E27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B894"/>
          <w:sz w:val="19"/>
          <w:szCs w:val="19"/>
        </w:rPr>
        <w:t xml:space="preserve">ORDER  BY 2 DESC</w:t>
      </w:r>
    </w:p>
    <w:p>
      <w:pPr>
        <w:spacing w:after="36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00B894"/>
          <w:spacing w:val="120"/>
          <w:sz w:val="18"/>
          <w:szCs w:val="18"/>
        </w:rPr>
        <w:t xml:space="preserve">QUERY RESULT</w:t>
      </w:r>
    </w:p>
    <w:p>
      <w:pPr>
        <w:spacing w:after="160" w:before="0"/>
      </w:pPr>
      <w:r>
        <w:t xml:space="preserve"/>
      </w:r>
    </w:p>
    <w:p>
      <w:pPr>
        <w:spacing w:after="360" w:before="100"/>
        <w:jc w:val="center"/>
      </w:pPr>
      <w:r>
        <w:drawing>
          <wp:inline distT="0" distB="0" distL="0" distR="0">
            <wp:extent cx="2750820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2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00B894"/>
          <w:spacing w:val="120"/>
          <w:sz w:val="18"/>
          <w:szCs w:val="18"/>
        </w:rPr>
        <w:t xml:space="preserve">KEY INSIGHT</w:t>
      </w:r>
    </w:p>
    <w:p>
      <w:pPr>
        <w:spacing w:after="140" w:before="0"/>
      </w:pPr>
      <w:r>
        <w:t xml:space="preserve"/>
      </w:r>
    </w:p>
    <w:p>
      <w:pPr>
        <w:pBdr>
          <w:left w:val="single" w:color="00B894" w:sz="16"/>
        </w:pBdr>
        <w:shd w:fill="E8FDF9" w:color="auto" w:val="clear"/>
        <w:spacing w:after="160" w:before="160"/>
        <w:ind w:left="240" w:right="240"/>
      </w:pPr>
      <w:r>
        <w:rPr>
          <w:rFonts w:ascii="Arial" w:cs="Arial" w:eastAsia="Arial" w:hAnsi="Arial"/>
          <w:b/>
          <w:bCs/>
          <w:color w:val="1E272E"/>
          <w:sz w:val="22"/>
          <w:szCs w:val="22"/>
        </w:rPr>
        <w:t xml:space="preserve">  June (month 6) and January (month 1) are peak demand months. April is the lowest. Safety stock should increase 20–30% entering peak months — directly supporting the Optimization Strategy recommendation.</w:t>
      </w:r>
    </w:p>
    <w:p>
      <w:r>
        <w:br w:type="page"/>
      </w:r>
    </w:p>
    <w:p>
      <w:pPr>
        <w:spacing w:after="400" w:before="0"/>
      </w:pPr>
      <w:r>
        <w:t xml:space="preserve"/>
      </w:r>
    </w:p>
    <w:p>
      <w:pPr>
        <w:spacing w:after="240"/>
      </w:pPr>
      <w:r>
        <w:rPr>
          <w:rFonts w:ascii="Arial" w:cs="Arial" w:eastAsia="Arial" w:hAnsi="Arial"/>
          <w:b/>
          <w:bCs/>
          <w:color w:val="1E272E"/>
          <w:sz w:val="40"/>
          <w:szCs w:val="40"/>
        </w:rPr>
        <w:t xml:space="preserve">Key Findings Summary</w:t>
      </w:r>
    </w:p>
    <w:p>
      <w:pPr>
        <w:pBdr>
          <w:bottom w:val="single" w:color="DDDDDD" w:sz="4"/>
        </w:pBdr>
        <w:spacing w:after="0" w:before="0"/>
      </w:pPr>
      <w:r>
        <w:t xml:space="preserve"/>
      </w:r>
    </w:p>
    <w:p>
      <w:pPr>
        <w:spacing w:after="28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B894"/>
          <w:sz w:val="22"/>
          <w:szCs w:val="22"/>
        </w:rPr>
        <w:t xml:space="preserve">01  </w:t>
      </w:r>
      <w:r>
        <w:rPr>
          <w:rFonts w:ascii="Arial" w:cs="Arial" w:eastAsia="Arial" w:hAnsi="Arial"/>
          <w:b/>
          <w:bCs/>
          <w:color w:val="1E272E"/>
          <w:sz w:val="22"/>
          <w:szCs w:val="22"/>
        </w:rPr>
        <w:t xml:space="preserve">Structural Timing Failure</w:t>
      </w:r>
    </w:p>
    <w:p>
      <w:pPr>
        <w:spacing w:after="8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Avg production-to-sale gap (31 days) exceeds avg shelf life (29 days) — the supply chain is too slow for the products it handles.</w:t>
      </w:r>
    </w:p>
    <w:p>
      <w:pPr>
        <w:pBdr>
          <w:bottom w:val="single" w:color="DDDDDD" w:sz="4"/>
        </w:pBd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B894"/>
          <w:sz w:val="22"/>
          <w:szCs w:val="22"/>
        </w:rPr>
        <w:t xml:space="preserve">02  </w:t>
      </w:r>
      <w:r>
        <w:rPr>
          <w:rFonts w:ascii="Arial" w:cs="Arial" w:eastAsia="Arial" w:hAnsi="Arial"/>
          <w:b/>
          <w:bCs/>
          <w:color w:val="1E272E"/>
          <w:sz w:val="22"/>
          <w:szCs w:val="22"/>
        </w:rPr>
        <w:t xml:space="preserve">Ambient Storage — Not a True Risk</w:t>
      </w:r>
    </w:p>
    <w:p>
      <w:pPr>
        <w:spacing w:after="8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100% expiry rate in ambient storage is misleading. Ambient only stores Ghee, which has a very long shelf life. This category is not a concern.</w:t>
      </w:r>
    </w:p>
    <w:p>
      <w:pPr>
        <w:pBdr>
          <w:bottom w:val="single" w:color="DDDDDD" w:sz="4"/>
        </w:pBd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B894"/>
          <w:sz w:val="22"/>
          <w:szCs w:val="22"/>
        </w:rPr>
        <w:t xml:space="preserve">03  </w:t>
      </w:r>
      <w:r>
        <w:rPr>
          <w:rFonts w:ascii="Arial" w:cs="Arial" w:eastAsia="Arial" w:hAnsi="Arial"/>
          <w:b/>
          <w:bCs/>
          <w:color w:val="1E272E"/>
          <w:sz w:val="22"/>
          <w:szCs w:val="22"/>
        </w:rPr>
        <w:t xml:space="preserve">Frozen Storage — Critical</w:t>
      </w:r>
    </w:p>
    <w:p>
      <w:pPr>
        <w:spacing w:after="8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54.2% of frozen deliveries expired. Frozen storage is the real high-risk category requiring immediate cold-chain intervention.</w:t>
      </w:r>
    </w:p>
    <w:p>
      <w:pPr>
        <w:pBdr>
          <w:bottom w:val="single" w:color="DDDDDD" w:sz="4"/>
        </w:pBd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B894"/>
          <w:sz w:val="22"/>
          <w:szCs w:val="22"/>
        </w:rPr>
        <w:t xml:space="preserve">04  </w:t>
      </w:r>
      <w:r>
        <w:rPr>
          <w:rFonts w:ascii="Arial" w:cs="Arial" w:eastAsia="Arial" w:hAnsi="Arial"/>
          <w:b/>
          <w:bCs/>
          <w:color w:val="1E272E"/>
          <w:sz w:val="22"/>
          <w:szCs w:val="22"/>
        </w:rPr>
        <w:t xml:space="preserve">Reorder Quantity Is NOT the Cause</w:t>
      </w:r>
    </w:p>
    <w:p>
      <w:pPr>
        <w:spacing w:after="8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Expired (107.33) vs on-time (110.33) deliveries have near-identical reorder quantities — quantity is not driving expiry.</w:t>
      </w:r>
    </w:p>
    <w:p>
      <w:pPr>
        <w:pBdr>
          <w:bottom w:val="single" w:color="DDDDDD" w:sz="4"/>
        </w:pBd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B894"/>
          <w:sz w:val="22"/>
          <w:szCs w:val="22"/>
        </w:rPr>
        <w:t xml:space="preserve">05  </w:t>
      </w:r>
      <w:r>
        <w:rPr>
          <w:rFonts w:ascii="Arial" w:cs="Arial" w:eastAsia="Arial" w:hAnsi="Arial"/>
          <w:b/>
          <w:bCs/>
          <w:color w:val="1E272E"/>
          <w:sz w:val="22"/>
          <w:szCs w:val="22"/>
        </w:rPr>
        <w:t xml:space="preserve">Universal Overstocking</w:t>
      </w:r>
    </w:p>
    <w:p>
      <w:pPr>
        <w:spacing w:after="8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Every product holds avg stock 4–5x above minimum threshold. Fixed reorder cycles — not demand — are driving this.</w:t>
      </w:r>
    </w:p>
    <w:p>
      <w:pPr>
        <w:pBdr>
          <w:bottom w:val="single" w:color="DDDDDD" w:sz="4"/>
        </w:pBd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B894"/>
          <w:sz w:val="22"/>
          <w:szCs w:val="22"/>
        </w:rPr>
        <w:t xml:space="preserve">06  </w:t>
      </w:r>
      <w:r>
        <w:rPr>
          <w:rFonts w:ascii="Arial" w:cs="Arial" w:eastAsia="Arial" w:hAnsi="Arial"/>
          <w:b/>
          <w:bCs/>
          <w:color w:val="1E272E"/>
          <w:sz w:val="22"/>
          <w:szCs w:val="22"/>
        </w:rPr>
        <w:t xml:space="preserve">Peak Demand Months</w:t>
      </w:r>
    </w:p>
    <w:p>
      <w:pPr>
        <w:spacing w:after="8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June and January are highest sales months. Safety stock should increase 20–30% during these periods.</w:t>
      </w:r>
    </w:p>
    <w:p>
      <w:pPr>
        <w:pBdr>
          <w:bottom w:val="single" w:color="DDDDDD" w:sz="4"/>
        </w:pBd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B894"/>
          <w:sz w:val="22"/>
          <w:szCs w:val="22"/>
        </w:rPr>
        <w:t xml:space="preserve">07  </w:t>
      </w:r>
      <w:r>
        <w:rPr>
          <w:rFonts w:ascii="Arial" w:cs="Arial" w:eastAsia="Arial" w:hAnsi="Arial"/>
          <w:b/>
          <w:bCs/>
          <w:color w:val="1E272E"/>
          <w:sz w:val="22"/>
          <w:szCs w:val="22"/>
        </w:rPr>
        <w:t xml:space="preserve">Highest Logistics Cost Products</w:t>
      </w:r>
    </w:p>
    <w:p>
      <w:pPr>
        <w:spacing w:after="8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Ghee (18), Curd (15), and Yogurt (13) require most multi-trip restocking. These three need priority reorder planning.</w:t>
      </w:r>
    </w:p>
    <w:p>
      <w:pPr>
        <w:pBdr>
          <w:bottom w:val="single" w:color="DDDDDD" w:sz="4"/>
        </w:pBd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B894"/>
          <w:sz w:val="22"/>
          <w:szCs w:val="22"/>
        </w:rPr>
        <w:t xml:space="preserve">08  </w:t>
      </w:r>
      <w:r>
        <w:rPr>
          <w:rFonts w:ascii="Arial" w:cs="Arial" w:eastAsia="Arial" w:hAnsi="Arial"/>
          <w:b/>
          <w:bCs/>
          <w:color w:val="1E272E"/>
          <w:sz w:val="22"/>
          <w:szCs w:val="22"/>
        </w:rPr>
        <w:t xml:space="preserve">Preventable Loss</w:t>
      </w:r>
    </w:p>
    <w:p>
      <w:pPr>
        <w:spacing w:after="8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₹141K over 4 years (~₹35K/year) is attributable to cold-chain delivery delays — preventable with demand-based reordering.</w:t>
      </w:r>
    </w:p>
    <w:p>
      <w:pPr>
        <w:pBdr>
          <w:bottom w:val="single" w:color="DDDDDD" w:sz="4"/>
        </w:pBdr>
        <w:spacing w:after="0" w:before="0"/>
      </w:pPr>
      <w:r>
        <w:t xml:space="preserve"/>
      </w:r>
    </w:p>
    <w:p>
      <w:pPr>
        <w:spacing w:after="4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B2BEC3"/>
          <w:sz w:val="18"/>
          <w:szCs w:val="18"/>
        </w:rPr>
        <w:t xml:space="preserve">Yash Kumar  ·  BigQuery SQL  ·  ColdTrack Project  ·  2026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fafd15310d5a636671e194a451ffb5df00c44c6.png"/><Relationship Id="rId8" Type="http://schemas.openxmlformats.org/officeDocument/2006/relationships/image" Target="media/05c4b1257e697278956fa0c83cf3b5cadf3eb5cb.png"/><Relationship Id="rId9" Type="http://schemas.openxmlformats.org/officeDocument/2006/relationships/image" Target="media/d9fad933b1cdea4ea16edc3732f88491dd5498d4.png"/><Relationship Id="rId10" Type="http://schemas.openxmlformats.org/officeDocument/2006/relationships/image" Target="media/de41e60830daaa4c99a387a96219f713f61b7ae5.png"/><Relationship Id="rId11" Type="http://schemas.openxmlformats.org/officeDocument/2006/relationships/image" Target="media/7d4a32dc3d3ad65e8514556929754d8dd7b84b7e.png"/><Relationship Id="rId12" Type="http://schemas.openxmlformats.org/officeDocument/2006/relationships/image" Target="media/f6a35d0910363a4e151263c95a706e139f842e5c.png"/><Relationship Id="rId13" Type="http://schemas.openxmlformats.org/officeDocument/2006/relationships/image" Target="media/dce4211514847fdde44e7c6c7a7c659eedb13716.png"/><Relationship Id="rId14" Type="http://schemas.openxmlformats.org/officeDocument/2006/relationships/image" Target="media/6d42f7174f4940eebaa5b65d98d62ecc6472eca6.png"/><Relationship Id="rId15" Type="http://schemas.openxmlformats.org/officeDocument/2006/relationships/image" Target="media/b28110973c5e7e8bc219fab61f08c89d733c3224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2026-07-02T09:55:41.534Z</dcterms:created>
  <dcterms:modified xsi:type="dcterms:W3CDTF">2026-07-02T09:55:41.550Z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