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1F4E79"/>
          <w:sz w:val="56"/>
        </w:rPr>
        <w:t>Shell and Tube Heat Exchanger</w:t>
        <w:br/>
      </w:r>
      <w:r>
        <w:rPr>
          <w:color w:val="505050"/>
          <w:sz w:val="36"/>
        </w:rPr>
        <w:t>SolidWorks Flow Simulation and Heat Transfer Optimization Study</w:t>
      </w:r>
    </w:p>
    <w:p>
      <w:pPr>
        <w:spacing w:after="200"/>
        <w:jc w:val="center"/>
      </w:pPr>
      <w:r>
        <w:rPr>
          <w:b/>
          <w:sz w:val="32"/>
        </w:rPr>
        <w:t>Final Engineering Report</w:t>
      </w:r>
    </w:p>
    <w:p>
      <w:pPr>
        <w:jc w:val="center"/>
      </w:pPr>
      <w:r>
        <w:rPr>
          <w:sz w:val="22"/>
        </w:rPr>
        <w:t>Prepared for portfolio documentation</w:t>
        <w:br/>
      </w:r>
      <w:r>
        <w:rPr>
          <w:sz w:val="22"/>
        </w:rPr>
        <w:t>Prepared by: Yash Morbia</w:t>
        <w:br/>
      </w:r>
      <w:r>
        <w:rPr>
          <w:sz w:val="22"/>
        </w:rPr>
        <w:t>Date: May 2026</w:t>
      </w:r>
    </w:p>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center"/>
            <w:shd w:fill="1F4E79"/>
          </w:tcPr>
          <w:p>
            <w:pPr>
              <w:jc w:val="center"/>
            </w:pPr>
            <w:r>
              <w:rPr>
                <w:b/>
                <w:color w:val="FFFFFF"/>
                <w:sz w:val="16"/>
              </w:rPr>
              <w:t>Study Type</w:t>
            </w:r>
          </w:p>
        </w:tc>
        <w:tc>
          <w:tcPr>
            <w:tcW w:type="dxa" w:w="3600"/>
            <w:vAlign w:val="center"/>
            <w:shd w:fill="1F4E79"/>
          </w:tcPr>
          <w:p>
            <w:pPr>
              <w:jc w:val="center"/>
            </w:pPr>
            <w:r>
              <w:rPr>
                <w:b/>
                <w:color w:val="FFFFFF"/>
                <w:sz w:val="16"/>
              </w:rPr>
              <w:t>Solver</w:t>
            </w:r>
          </w:p>
        </w:tc>
        <w:tc>
          <w:tcPr>
            <w:tcW w:type="dxa" w:w="3600"/>
            <w:vAlign w:val="center"/>
            <w:shd w:fill="1F4E79"/>
          </w:tcPr>
          <w:p>
            <w:pPr>
              <w:jc w:val="center"/>
            </w:pPr>
            <w:r>
              <w:rPr>
                <w:b/>
                <w:color w:val="FFFFFF"/>
                <w:sz w:val="16"/>
              </w:rPr>
              <w:t>Final Physics</w:t>
            </w:r>
          </w:p>
        </w:tc>
        <w:tc>
          <w:tcPr>
            <w:tcW w:type="dxa" w:w="3600"/>
            <w:vAlign w:val="center"/>
            <w:shd w:fill="1F4E79"/>
          </w:tcPr>
          <w:p>
            <w:pPr>
              <w:jc w:val="center"/>
            </w:pPr>
            <w:r>
              <w:rPr>
                <w:b/>
                <w:color w:val="FFFFFF"/>
                <w:sz w:val="16"/>
              </w:rPr>
              <w:t>Primary Metric</w:t>
            </w:r>
          </w:p>
        </w:tc>
      </w:tr>
      <w:tr>
        <w:tc>
          <w:tcPr>
            <w:tcW w:type="dxa" w:w="3600"/>
            <w:vAlign w:val="center"/>
          </w:tcPr>
          <w:p>
            <w:pPr>
              <w:jc w:val="center"/>
            </w:pPr>
            <w:r>
              <w:rPr>
                <w:b w:val="0"/>
                <w:sz w:val="16"/>
              </w:rPr>
              <w:t>Steady-state internal CHT</w:t>
            </w:r>
          </w:p>
        </w:tc>
        <w:tc>
          <w:tcPr>
            <w:tcW w:type="dxa" w:w="3600"/>
            <w:vAlign w:val="center"/>
          </w:tcPr>
          <w:p>
            <w:pPr>
              <w:jc w:val="center"/>
            </w:pPr>
            <w:r>
              <w:rPr>
                <w:b w:val="0"/>
                <w:sz w:val="16"/>
              </w:rPr>
              <w:t>SolidWorks Flow Simulation</w:t>
            </w:r>
          </w:p>
        </w:tc>
        <w:tc>
          <w:tcPr>
            <w:tcW w:type="dxa" w:w="3600"/>
            <w:vAlign w:val="center"/>
          </w:tcPr>
          <w:p>
            <w:pPr>
              <w:jc w:val="center"/>
            </w:pPr>
            <w:r>
              <w:rPr>
                <w:b w:val="0"/>
                <w:sz w:val="16"/>
              </w:rPr>
              <w:t>Forced water-water flow, gravity off</w:t>
            </w:r>
          </w:p>
        </w:tc>
        <w:tc>
          <w:tcPr>
            <w:tcW w:type="dxa" w:w="3600"/>
            <w:vAlign w:val="center"/>
          </w:tcPr>
          <w:p>
            <w:pPr>
              <w:jc w:val="center"/>
            </w:pPr>
            <w:r>
              <w:rPr>
                <w:b w:val="0"/>
                <w:sz w:val="16"/>
              </w:rPr>
              <w:t>Bulk outlet temperature and heat duty</w:t>
            </w:r>
          </w:p>
        </w:tc>
      </w:tr>
    </w:tbl>
    <w:p>
      <w:pPr>
        <w:spacing w:before="360"/>
        <w:jc w:val="center"/>
      </w:pPr>
      <w:r>
        <w:rPr>
          <w:b/>
        </w:rPr>
        <w:t>Final recommendation: Case 4 gives the highest heat transfer, while Case 3 gives the best balanced low-pressure design.</w:t>
      </w:r>
    </w:p>
    <w:p>
      <w:r>
        <w:br w:type="page"/>
      </w:r>
    </w:p>
    <w:p>
      <w:pPr>
        <w:pStyle w:val="Heading1"/>
      </w:pPr>
      <w:r>
        <w:t>Executive Summary</w:t>
      </w:r>
    </w:p>
    <w:p>
      <w:pPr>
        <w:spacing w:after="80"/>
        <w:jc w:val="left"/>
      </w:pPr>
      <w:r>
        <w:t>A shell and tube heat exchanger was evaluated using SolidWorks Flow Simulation with conjugate heat transfer enabled. The objective was to validate baseline thermal behavior, compare flow arrangement sensitivity, and identify practical changes that reduce hot-side outlet temperature or pressure loss.</w:t>
      </w:r>
    </w:p>
    <w:p>
      <w:pPr>
        <w:spacing w:after="80"/>
        <w:jc w:val="left"/>
      </w:pPr>
      <w:r>
        <w:t>All final cases were rerun with gravity disabled. This was appropriate because the model represents a forced-convection, pump-driven water-water heat exchanger. Disabling gravity removed hydrostatic pressure effects from the pressure-drop calculation and produced excellent hot-side/cold-side energy balance.</w:t>
      </w:r>
    </w:p>
    <w:p>
      <w:pPr>
        <w:spacing w:after="80"/>
        <w:jc w:val="left"/>
      </w:pPr>
      <w:r>
        <w:t>Four cases were retained for the final study: a baseline counterflow configuration, a parallel-flow comparison, an inline tube-side inlet optimization, and an increased shell-side velocity parameter case. Bulk-average temperature goals were used for the final calculations so that heat transfer could be checked using energy balance.</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vAlign w:val="center"/>
            <w:shd w:fill="1F4E79"/>
          </w:tcPr>
          <w:p>
            <w:pPr>
              <w:jc w:val="center"/>
            </w:pPr>
            <w:r>
              <w:rPr>
                <w:b/>
                <w:color w:val="FFFFFF"/>
                <w:sz w:val="16"/>
              </w:rPr>
              <w:t>Case</w:t>
            </w:r>
          </w:p>
        </w:tc>
        <w:tc>
          <w:tcPr>
            <w:tcW w:type="dxa" w:w="2057"/>
            <w:vAlign w:val="center"/>
            <w:shd w:fill="1F4E79"/>
          </w:tcPr>
          <w:p>
            <w:pPr>
              <w:jc w:val="center"/>
            </w:pPr>
            <w:r>
              <w:rPr>
                <w:b/>
                <w:color w:val="FFFFFF"/>
                <w:sz w:val="16"/>
              </w:rPr>
              <w:t>Configuration</w:t>
            </w:r>
          </w:p>
        </w:tc>
        <w:tc>
          <w:tcPr>
            <w:tcW w:type="dxa" w:w="2057"/>
            <w:vAlign w:val="center"/>
            <w:shd w:fill="1F4E79"/>
          </w:tcPr>
          <w:p>
            <w:pPr>
              <w:jc w:val="center"/>
            </w:pPr>
            <w:r>
              <w:rPr>
                <w:b/>
                <w:color w:val="FFFFFF"/>
                <w:sz w:val="16"/>
              </w:rPr>
              <w:t>Hot outlet (degC)</w:t>
            </w:r>
          </w:p>
        </w:tc>
        <w:tc>
          <w:tcPr>
            <w:tcW w:type="dxa" w:w="2057"/>
            <w:vAlign w:val="center"/>
            <w:shd w:fill="1F4E79"/>
          </w:tcPr>
          <w:p>
            <w:pPr>
              <w:jc w:val="center"/>
            </w:pPr>
            <w:r>
              <w:rPr>
                <w:b/>
                <w:color w:val="FFFFFF"/>
                <w:sz w:val="16"/>
              </w:rPr>
              <w:t>Cold outlet (degC)</w:t>
            </w:r>
          </w:p>
        </w:tc>
        <w:tc>
          <w:tcPr>
            <w:tcW w:type="dxa" w:w="2057"/>
            <w:vAlign w:val="center"/>
            <w:shd w:fill="1F4E79"/>
          </w:tcPr>
          <w:p>
            <w:pPr>
              <w:jc w:val="center"/>
            </w:pPr>
            <w:r>
              <w:rPr>
                <w:b/>
                <w:color w:val="FFFFFF"/>
                <w:sz w:val="16"/>
              </w:rPr>
              <w:t>Heat transfer (kW)</w:t>
            </w:r>
          </w:p>
        </w:tc>
        <w:tc>
          <w:tcPr>
            <w:tcW w:type="dxa" w:w="2057"/>
            <w:vAlign w:val="center"/>
            <w:shd w:fill="1F4E79"/>
          </w:tcPr>
          <w:p>
            <w:pPr>
              <w:jc w:val="center"/>
            </w:pPr>
            <w:r>
              <w:rPr>
                <w:b/>
                <w:color w:val="FFFFFF"/>
                <w:sz w:val="16"/>
              </w:rPr>
              <w:t>Tube dP (Pa)</w:t>
            </w:r>
          </w:p>
        </w:tc>
        <w:tc>
          <w:tcPr>
            <w:tcW w:type="dxa" w:w="2057"/>
            <w:vAlign w:val="center"/>
            <w:shd w:fill="1F4E79"/>
          </w:tcPr>
          <w:p>
            <w:pPr>
              <w:jc w:val="center"/>
            </w:pPr>
            <w:r>
              <w:rPr>
                <w:b/>
                <w:color w:val="FFFFFF"/>
                <w:sz w:val="16"/>
              </w:rPr>
              <w:t>Shell dP (Pa)</w:t>
            </w:r>
          </w:p>
        </w:tc>
      </w:tr>
      <w:tr>
        <w:tc>
          <w:tcPr>
            <w:tcW w:type="dxa" w:w="2057"/>
            <w:vAlign w:val="center"/>
          </w:tcPr>
          <w:p>
            <w:pPr>
              <w:jc w:val="center"/>
            </w:pPr>
            <w:r>
              <w:rPr>
                <w:b w:val="0"/>
                <w:sz w:val="16"/>
              </w:rPr>
              <w:t>Case 1</w:t>
            </w:r>
          </w:p>
        </w:tc>
        <w:tc>
          <w:tcPr>
            <w:tcW w:type="dxa" w:w="2057"/>
            <w:vAlign w:val="center"/>
          </w:tcPr>
          <w:p>
            <w:pPr>
              <w:jc w:val="center"/>
            </w:pPr>
            <w:r>
              <w:rPr>
                <w:b w:val="0"/>
                <w:sz w:val="16"/>
              </w:rPr>
              <w:t>Baseline Counterflow HX</w:t>
            </w:r>
          </w:p>
        </w:tc>
        <w:tc>
          <w:tcPr>
            <w:tcW w:type="dxa" w:w="2057"/>
            <w:vAlign w:val="center"/>
          </w:tcPr>
          <w:p>
            <w:pPr>
              <w:jc w:val="center"/>
            </w:pPr>
            <w:r>
              <w:rPr>
                <w:b w:val="0"/>
                <w:sz w:val="16"/>
              </w:rPr>
              <w:t>86.71</w:t>
            </w:r>
          </w:p>
        </w:tc>
        <w:tc>
          <w:tcPr>
            <w:tcW w:type="dxa" w:w="2057"/>
            <w:vAlign w:val="center"/>
          </w:tcPr>
          <w:p>
            <w:pPr>
              <w:jc w:val="center"/>
            </w:pPr>
            <w:r>
              <w:rPr>
                <w:b w:val="0"/>
                <w:sz w:val="16"/>
              </w:rPr>
              <w:t>24.80</w:t>
            </w:r>
          </w:p>
        </w:tc>
        <w:tc>
          <w:tcPr>
            <w:tcW w:type="dxa" w:w="2057"/>
            <w:vAlign w:val="center"/>
          </w:tcPr>
          <w:p>
            <w:pPr>
              <w:jc w:val="center"/>
            </w:pPr>
            <w:r>
              <w:rPr>
                <w:b w:val="0"/>
                <w:sz w:val="16"/>
              </w:rPr>
              <w:t>26.3</w:t>
            </w:r>
          </w:p>
        </w:tc>
        <w:tc>
          <w:tcPr>
            <w:tcW w:type="dxa" w:w="2057"/>
            <w:vAlign w:val="center"/>
          </w:tcPr>
          <w:p>
            <w:pPr>
              <w:jc w:val="center"/>
            </w:pPr>
            <w:r>
              <w:rPr>
                <w:b w:val="0"/>
                <w:sz w:val="16"/>
              </w:rPr>
              <w:t>10.69</w:t>
            </w:r>
          </w:p>
        </w:tc>
        <w:tc>
          <w:tcPr>
            <w:tcW w:type="dxa" w:w="2057"/>
            <w:vAlign w:val="center"/>
          </w:tcPr>
          <w:p>
            <w:pPr>
              <w:jc w:val="center"/>
            </w:pPr>
            <w:r>
              <w:rPr>
                <w:b w:val="0"/>
                <w:sz w:val="16"/>
              </w:rPr>
              <w:t>21.06</w:t>
            </w:r>
          </w:p>
        </w:tc>
      </w:tr>
      <w:tr>
        <w:tc>
          <w:tcPr>
            <w:tcW w:type="dxa" w:w="2057"/>
            <w:vAlign w:val="center"/>
          </w:tcPr>
          <w:p>
            <w:pPr>
              <w:jc w:val="center"/>
            </w:pPr>
            <w:r>
              <w:rPr>
                <w:b w:val="0"/>
                <w:sz w:val="16"/>
              </w:rPr>
              <w:t>Case 2</w:t>
            </w:r>
          </w:p>
        </w:tc>
        <w:tc>
          <w:tcPr>
            <w:tcW w:type="dxa" w:w="2057"/>
            <w:vAlign w:val="center"/>
          </w:tcPr>
          <w:p>
            <w:pPr>
              <w:jc w:val="center"/>
            </w:pPr>
            <w:r>
              <w:rPr>
                <w:b w:val="0"/>
                <w:sz w:val="16"/>
              </w:rPr>
              <w:t>Parallel Flow Comparison</w:t>
            </w:r>
          </w:p>
        </w:tc>
        <w:tc>
          <w:tcPr>
            <w:tcW w:type="dxa" w:w="2057"/>
            <w:vAlign w:val="center"/>
          </w:tcPr>
          <w:p>
            <w:pPr>
              <w:jc w:val="center"/>
            </w:pPr>
            <w:r>
              <w:rPr>
                <w:b w:val="0"/>
                <w:sz w:val="16"/>
              </w:rPr>
              <w:t>87.15</w:t>
            </w:r>
          </w:p>
        </w:tc>
        <w:tc>
          <w:tcPr>
            <w:tcW w:type="dxa" w:w="2057"/>
            <w:vAlign w:val="center"/>
          </w:tcPr>
          <w:p>
            <w:pPr>
              <w:jc w:val="center"/>
            </w:pPr>
            <w:r>
              <w:rPr>
                <w:b w:val="0"/>
                <w:sz w:val="16"/>
              </w:rPr>
              <w:t>24.57</w:t>
            </w:r>
          </w:p>
        </w:tc>
        <w:tc>
          <w:tcPr>
            <w:tcW w:type="dxa" w:w="2057"/>
            <w:vAlign w:val="center"/>
          </w:tcPr>
          <w:p>
            <w:pPr>
              <w:jc w:val="center"/>
            </w:pPr>
            <w:r>
              <w:rPr>
                <w:b w:val="0"/>
                <w:sz w:val="16"/>
              </w:rPr>
              <w:t>25.2</w:t>
            </w:r>
          </w:p>
        </w:tc>
        <w:tc>
          <w:tcPr>
            <w:tcW w:type="dxa" w:w="2057"/>
            <w:vAlign w:val="center"/>
          </w:tcPr>
          <w:p>
            <w:pPr>
              <w:jc w:val="center"/>
            </w:pPr>
            <w:r>
              <w:rPr>
                <w:b w:val="0"/>
                <w:sz w:val="16"/>
              </w:rPr>
              <w:t>10.70</w:t>
            </w:r>
          </w:p>
        </w:tc>
        <w:tc>
          <w:tcPr>
            <w:tcW w:type="dxa" w:w="2057"/>
            <w:vAlign w:val="center"/>
          </w:tcPr>
          <w:p>
            <w:pPr>
              <w:jc w:val="center"/>
            </w:pPr>
            <w:r>
              <w:rPr>
                <w:b w:val="0"/>
                <w:sz w:val="16"/>
              </w:rPr>
              <w:t>20.52</w:t>
            </w:r>
          </w:p>
        </w:tc>
      </w:tr>
      <w:tr>
        <w:tc>
          <w:tcPr>
            <w:tcW w:type="dxa" w:w="2057"/>
            <w:vAlign w:val="center"/>
          </w:tcPr>
          <w:p>
            <w:pPr>
              <w:jc w:val="center"/>
            </w:pPr>
            <w:r>
              <w:rPr>
                <w:b w:val="0"/>
                <w:sz w:val="16"/>
              </w:rPr>
              <w:t>Case 3</w:t>
            </w:r>
          </w:p>
        </w:tc>
        <w:tc>
          <w:tcPr>
            <w:tcW w:type="dxa" w:w="2057"/>
            <w:vAlign w:val="center"/>
          </w:tcPr>
          <w:p>
            <w:pPr>
              <w:jc w:val="center"/>
            </w:pPr>
            <w:r>
              <w:rPr>
                <w:b w:val="0"/>
                <w:sz w:val="16"/>
              </w:rPr>
              <w:t>Inline Tube-Side Inlet Optimization</w:t>
            </w:r>
          </w:p>
        </w:tc>
        <w:tc>
          <w:tcPr>
            <w:tcW w:type="dxa" w:w="2057"/>
            <w:vAlign w:val="center"/>
          </w:tcPr>
          <w:p>
            <w:pPr>
              <w:jc w:val="center"/>
            </w:pPr>
            <w:r>
              <w:rPr>
                <w:b w:val="0"/>
                <w:sz w:val="16"/>
              </w:rPr>
              <w:t>86.22</w:t>
            </w:r>
          </w:p>
        </w:tc>
        <w:tc>
          <w:tcPr>
            <w:tcW w:type="dxa" w:w="2057"/>
            <w:vAlign w:val="center"/>
          </w:tcPr>
          <w:p>
            <w:pPr>
              <w:jc w:val="center"/>
            </w:pPr>
            <w:r>
              <w:rPr>
                <w:b w:val="0"/>
                <w:sz w:val="16"/>
              </w:rPr>
              <w:t>24.96</w:t>
            </w:r>
          </w:p>
        </w:tc>
        <w:tc>
          <w:tcPr>
            <w:tcW w:type="dxa" w:w="2057"/>
            <w:vAlign w:val="center"/>
          </w:tcPr>
          <w:p>
            <w:pPr>
              <w:jc w:val="center"/>
            </w:pPr>
            <w:r>
              <w:rPr>
                <w:b w:val="0"/>
                <w:sz w:val="16"/>
              </w:rPr>
              <w:t>27.2</w:t>
            </w:r>
          </w:p>
        </w:tc>
        <w:tc>
          <w:tcPr>
            <w:tcW w:type="dxa" w:w="2057"/>
            <w:vAlign w:val="center"/>
          </w:tcPr>
          <w:p>
            <w:pPr>
              <w:jc w:val="center"/>
            </w:pPr>
            <w:r>
              <w:rPr>
                <w:b w:val="0"/>
                <w:sz w:val="16"/>
              </w:rPr>
              <w:t>9.82</w:t>
            </w:r>
          </w:p>
        </w:tc>
        <w:tc>
          <w:tcPr>
            <w:tcW w:type="dxa" w:w="2057"/>
            <w:vAlign w:val="center"/>
          </w:tcPr>
          <w:p>
            <w:pPr>
              <w:jc w:val="center"/>
            </w:pPr>
            <w:r>
              <w:rPr>
                <w:b w:val="0"/>
                <w:sz w:val="16"/>
              </w:rPr>
              <w:t>21.11</w:t>
            </w:r>
          </w:p>
        </w:tc>
      </w:tr>
      <w:tr>
        <w:tc>
          <w:tcPr>
            <w:tcW w:type="dxa" w:w="2057"/>
            <w:vAlign w:val="center"/>
          </w:tcPr>
          <w:p>
            <w:pPr>
              <w:jc w:val="center"/>
            </w:pPr>
            <w:r>
              <w:rPr>
                <w:b w:val="0"/>
                <w:sz w:val="16"/>
              </w:rPr>
              <w:t>Case 4</w:t>
            </w:r>
          </w:p>
        </w:tc>
        <w:tc>
          <w:tcPr>
            <w:tcW w:type="dxa" w:w="2057"/>
            <w:vAlign w:val="center"/>
          </w:tcPr>
          <w:p>
            <w:pPr>
              <w:jc w:val="center"/>
            </w:pPr>
            <w:r>
              <w:rPr>
                <w:b w:val="0"/>
                <w:sz w:val="16"/>
              </w:rPr>
              <w:t>Increased Shell-Side Velocity</w:t>
            </w:r>
          </w:p>
        </w:tc>
        <w:tc>
          <w:tcPr>
            <w:tcW w:type="dxa" w:w="2057"/>
            <w:vAlign w:val="center"/>
          </w:tcPr>
          <w:p>
            <w:pPr>
              <w:jc w:val="center"/>
            </w:pPr>
            <w:r>
              <w:rPr>
                <w:b w:val="0"/>
                <w:sz w:val="16"/>
              </w:rPr>
              <w:t>84.75</w:t>
            </w:r>
          </w:p>
        </w:tc>
        <w:tc>
          <w:tcPr>
            <w:tcW w:type="dxa" w:w="2057"/>
            <w:vAlign w:val="center"/>
          </w:tcPr>
          <w:p>
            <w:pPr>
              <w:jc w:val="center"/>
            </w:pPr>
            <w:r>
              <w:rPr>
                <w:b w:val="0"/>
                <w:sz w:val="16"/>
              </w:rPr>
              <w:t>22.72</w:t>
            </w:r>
          </w:p>
        </w:tc>
        <w:tc>
          <w:tcPr>
            <w:tcW w:type="dxa" w:w="2057"/>
            <w:vAlign w:val="center"/>
          </w:tcPr>
          <w:p>
            <w:pPr>
              <w:jc w:val="center"/>
            </w:pPr>
            <w:r>
              <w:rPr>
                <w:b w:val="0"/>
                <w:sz w:val="16"/>
              </w:rPr>
              <w:t>30.0</w:t>
            </w:r>
          </w:p>
        </w:tc>
        <w:tc>
          <w:tcPr>
            <w:tcW w:type="dxa" w:w="2057"/>
            <w:vAlign w:val="center"/>
          </w:tcPr>
          <w:p>
            <w:pPr>
              <w:jc w:val="center"/>
            </w:pPr>
            <w:r>
              <w:rPr>
                <w:b w:val="0"/>
                <w:sz w:val="16"/>
              </w:rPr>
              <w:t>9.82</w:t>
            </w:r>
          </w:p>
        </w:tc>
        <w:tc>
          <w:tcPr>
            <w:tcW w:type="dxa" w:w="2057"/>
            <w:vAlign w:val="center"/>
          </w:tcPr>
          <w:p>
            <w:pPr>
              <w:jc w:val="center"/>
            </w:pPr>
            <w:r>
              <w:rPr>
                <w:b w:val="0"/>
                <w:sz w:val="16"/>
              </w:rPr>
              <w:t>83.58</w:t>
            </w:r>
          </w:p>
        </w:tc>
      </w:tr>
    </w:tbl>
    <w:p>
      <w:pPr>
        <w:spacing w:after="120"/>
        <w:jc w:val="center"/>
      </w:pPr>
      <w:r>
        <w:rPr>
          <w:i/>
          <w:sz w:val="16"/>
        </w:rPr>
        <w:t>Table 1. Final case comparison using bulk-average outlet temperatures.</w:t>
      </w:r>
    </w:p>
    <w:p>
      <w:pPr>
        <w:pStyle w:val="Heading2"/>
      </w:pPr>
      <w:r>
        <w:t>Key Findings</w:t>
      </w:r>
    </w:p>
    <w:p>
      <w:pPr>
        <w:pStyle w:val="ListBullet"/>
        <w:spacing w:after="40"/>
      </w:pPr>
      <w:r>
        <w:t>Case 1 established a stable baseline with approximately 26.2 kW of heat transfer and excellent energy balance.</w:t>
      </w:r>
    </w:p>
    <w:p>
      <w:pPr>
        <w:pStyle w:val="ListBullet"/>
        <w:spacing w:after="40"/>
      </w:pPr>
      <w:r>
        <w:t>Case 2 showed that reversing the shell-side flow direction produced only a small performance change because the baffle-driven shell side behaves more like mixed cross-flow than ideal textbook counterflow or parallel flow.</w:t>
      </w:r>
    </w:p>
    <w:p>
      <w:pPr>
        <w:pStyle w:val="ListBullet"/>
        <w:spacing w:after="40"/>
      </w:pPr>
      <w:r>
        <w:t>Case 3 improved the tube-side inlet path, slightly increasing heat transfer and reducing tube-side pressure drop relative to the baseline.</w:t>
      </w:r>
    </w:p>
    <w:p>
      <w:pPr>
        <w:pStyle w:val="ListBullet"/>
        <w:spacing w:after="40"/>
      </w:pPr>
      <w:r>
        <w:t>Case 4 doubled shell-side velocity from 0.1 m/s to 0.2 m/s. This increased heat transfer by about 15 percent versus the baseline, but increased shell-side pressure drop by about 4 times.</w:t>
      </w:r>
    </w:p>
    <w:p>
      <w:pPr>
        <w:pStyle w:val="ListBullet"/>
        <w:spacing w:after="40"/>
      </w:pPr>
      <w:r>
        <w:t>For minimum hot outlet temperature, Case 4 is the best. For a balanced design with low pressure drop, Case 3 is preferred.</w:t>
      </w:r>
    </w:p>
    <w:p>
      <w:pPr>
        <w:pStyle w:val="Heading1"/>
      </w:pPr>
      <w:r>
        <w:t>Simulation Methodology</w:t>
      </w:r>
    </w:p>
    <w:p>
      <w:pPr>
        <w:pStyle w:val="Heading2"/>
      </w:pPr>
      <w:r>
        <w:t>Model and Materials</w:t>
      </w:r>
    </w:p>
    <w:p>
      <w:pPr>
        <w:spacing w:after="80"/>
        <w:jc w:val="left"/>
      </w:pPr>
      <w:r>
        <w:t>The model is a shell and tube heat exchanger with copper tubes and stainless steel shell, baffles, headers, and tube sheets. The simulation used internal flow with heat conduction in solids enabled so that heat transfer through the tube walls was captured.</w:t>
      </w:r>
    </w:p>
    <w:p>
      <w:pPr>
        <w:pStyle w:val="Heading2"/>
      </w:pPr>
      <w:r>
        <w:t>Final Physics Settings</w:t>
      </w:r>
    </w:p>
    <w:tbl>
      <w:tblPr>
        <w:tblStyle w:val="TableGrid"/>
        <w:tblW w:type="auto" w:w="0"/>
        <w:jc w:val="center"/>
        <w:tblLook w:firstColumn="1" w:firstRow="1" w:lastColumn="0" w:lastRow="0" w:noHBand="0" w:noVBand="1" w:val="04A0"/>
      </w:tblPr>
      <w:tblGrid>
        <w:gridCol w:w="7200"/>
        <w:gridCol w:w="7200"/>
      </w:tblGrid>
      <w:tr>
        <w:tc>
          <w:tcPr>
            <w:tcW w:type="dxa" w:w="7200"/>
            <w:vAlign w:val="center"/>
            <w:shd w:fill="1F4E79"/>
          </w:tcPr>
          <w:p>
            <w:pPr>
              <w:jc w:val="center"/>
            </w:pPr>
            <w:r>
              <w:rPr>
                <w:b/>
                <w:color w:val="FFFFFF"/>
                <w:sz w:val="16"/>
              </w:rPr>
              <w:t>Setting</w:t>
            </w:r>
          </w:p>
        </w:tc>
        <w:tc>
          <w:tcPr>
            <w:tcW w:type="dxa" w:w="7200"/>
            <w:vAlign w:val="center"/>
            <w:shd w:fill="1F4E79"/>
          </w:tcPr>
          <w:p>
            <w:pPr>
              <w:jc w:val="center"/>
            </w:pPr>
            <w:r>
              <w:rPr>
                <w:b/>
                <w:color w:val="FFFFFF"/>
                <w:sz w:val="16"/>
              </w:rPr>
              <w:t>Final report value</w:t>
            </w:r>
          </w:p>
        </w:tc>
      </w:tr>
      <w:tr>
        <w:tc>
          <w:tcPr>
            <w:tcW w:type="dxa" w:w="7200"/>
            <w:vAlign w:val="center"/>
          </w:tcPr>
          <w:p>
            <w:pPr>
              <w:jc w:val="center"/>
            </w:pPr>
            <w:r>
              <w:rPr>
                <w:b w:val="0"/>
                <w:sz w:val="16"/>
              </w:rPr>
              <w:t>Analysis type</w:t>
            </w:r>
          </w:p>
        </w:tc>
        <w:tc>
          <w:tcPr>
            <w:tcW w:type="dxa" w:w="7200"/>
            <w:vAlign w:val="center"/>
          </w:tcPr>
          <w:p>
            <w:pPr>
              <w:jc w:val="center"/>
            </w:pPr>
            <w:r>
              <w:rPr>
                <w:b w:val="0"/>
                <w:sz w:val="16"/>
              </w:rPr>
              <w:t>Internal flow</w:t>
            </w:r>
          </w:p>
        </w:tc>
      </w:tr>
      <w:tr>
        <w:tc>
          <w:tcPr>
            <w:tcW w:type="dxa" w:w="7200"/>
            <w:vAlign w:val="center"/>
          </w:tcPr>
          <w:p>
            <w:pPr>
              <w:jc w:val="center"/>
            </w:pPr>
            <w:r>
              <w:rPr>
                <w:b w:val="0"/>
                <w:sz w:val="16"/>
              </w:rPr>
              <w:t>Thermal model</w:t>
            </w:r>
          </w:p>
        </w:tc>
        <w:tc>
          <w:tcPr>
            <w:tcW w:type="dxa" w:w="7200"/>
            <w:vAlign w:val="center"/>
          </w:tcPr>
          <w:p>
            <w:pPr>
              <w:jc w:val="center"/>
            </w:pPr>
            <w:r>
              <w:rPr>
                <w:b w:val="0"/>
                <w:sz w:val="16"/>
              </w:rPr>
              <w:t>Conjugate heat transfer, heat conduction in solids enabled</w:t>
            </w:r>
          </w:p>
        </w:tc>
      </w:tr>
      <w:tr>
        <w:tc>
          <w:tcPr>
            <w:tcW w:type="dxa" w:w="7200"/>
            <w:vAlign w:val="center"/>
          </w:tcPr>
          <w:p>
            <w:pPr>
              <w:jc w:val="center"/>
            </w:pPr>
            <w:r>
              <w:rPr>
                <w:b w:val="0"/>
                <w:sz w:val="16"/>
              </w:rPr>
              <w:t>Fluids</w:t>
            </w:r>
          </w:p>
        </w:tc>
        <w:tc>
          <w:tcPr>
            <w:tcW w:type="dxa" w:w="7200"/>
            <w:vAlign w:val="center"/>
          </w:tcPr>
          <w:p>
            <w:pPr>
              <w:jc w:val="center"/>
            </w:pPr>
            <w:r>
              <w:rPr>
                <w:b w:val="0"/>
                <w:sz w:val="16"/>
              </w:rPr>
              <w:t>Water on tube side and shell side</w:t>
            </w:r>
          </w:p>
        </w:tc>
      </w:tr>
      <w:tr>
        <w:tc>
          <w:tcPr>
            <w:tcW w:type="dxa" w:w="7200"/>
            <w:vAlign w:val="center"/>
          </w:tcPr>
          <w:p>
            <w:pPr>
              <w:jc w:val="center"/>
            </w:pPr>
            <w:r>
              <w:rPr>
                <w:b w:val="0"/>
                <w:sz w:val="16"/>
              </w:rPr>
              <w:t>Solid materials</w:t>
            </w:r>
          </w:p>
        </w:tc>
        <w:tc>
          <w:tcPr>
            <w:tcW w:type="dxa" w:w="7200"/>
            <w:vAlign w:val="center"/>
          </w:tcPr>
          <w:p>
            <w:pPr>
              <w:jc w:val="center"/>
            </w:pPr>
            <w:r>
              <w:rPr>
                <w:b w:val="0"/>
                <w:sz w:val="16"/>
              </w:rPr>
              <w:t>Copper tubes; stainless steel shell, headers, baffles, tube sheets</w:t>
            </w:r>
          </w:p>
        </w:tc>
      </w:tr>
      <w:tr>
        <w:tc>
          <w:tcPr>
            <w:tcW w:type="dxa" w:w="7200"/>
            <w:vAlign w:val="center"/>
          </w:tcPr>
          <w:p>
            <w:pPr>
              <w:jc w:val="center"/>
            </w:pPr>
            <w:r>
              <w:rPr>
                <w:b w:val="0"/>
                <w:sz w:val="16"/>
              </w:rPr>
              <w:t>Wall condition</w:t>
            </w:r>
          </w:p>
        </w:tc>
        <w:tc>
          <w:tcPr>
            <w:tcW w:type="dxa" w:w="7200"/>
            <w:vAlign w:val="center"/>
          </w:tcPr>
          <w:p>
            <w:pPr>
              <w:jc w:val="center"/>
            </w:pPr>
            <w:r>
              <w:rPr>
                <w:b w:val="0"/>
                <w:sz w:val="16"/>
              </w:rPr>
              <w:t>Adiabatic external wall</w:t>
            </w:r>
          </w:p>
        </w:tc>
      </w:tr>
      <w:tr>
        <w:tc>
          <w:tcPr>
            <w:tcW w:type="dxa" w:w="7200"/>
            <w:vAlign w:val="center"/>
          </w:tcPr>
          <w:p>
            <w:pPr>
              <w:jc w:val="center"/>
            </w:pPr>
            <w:r>
              <w:rPr>
                <w:b w:val="0"/>
                <w:sz w:val="16"/>
              </w:rPr>
              <w:t>Gravity</w:t>
            </w:r>
          </w:p>
        </w:tc>
        <w:tc>
          <w:tcPr>
            <w:tcW w:type="dxa" w:w="7200"/>
            <w:vAlign w:val="center"/>
          </w:tcPr>
          <w:p>
            <w:pPr>
              <w:jc w:val="center"/>
            </w:pPr>
            <w:r>
              <w:rPr>
                <w:b w:val="0"/>
                <w:sz w:val="16"/>
              </w:rPr>
              <w:t>Off</w:t>
            </w:r>
          </w:p>
        </w:tc>
      </w:tr>
      <w:tr>
        <w:tc>
          <w:tcPr>
            <w:tcW w:type="dxa" w:w="7200"/>
            <w:vAlign w:val="center"/>
          </w:tcPr>
          <w:p>
            <w:pPr>
              <w:jc w:val="center"/>
            </w:pPr>
            <w:r>
              <w:rPr>
                <w:b w:val="0"/>
                <w:sz w:val="16"/>
              </w:rPr>
              <w:t>Radiation</w:t>
            </w:r>
          </w:p>
        </w:tc>
        <w:tc>
          <w:tcPr>
            <w:tcW w:type="dxa" w:w="7200"/>
            <w:vAlign w:val="center"/>
          </w:tcPr>
          <w:p>
            <w:pPr>
              <w:jc w:val="center"/>
            </w:pPr>
            <w:r>
              <w:rPr>
                <w:b w:val="0"/>
                <w:sz w:val="16"/>
              </w:rPr>
              <w:t>Off</w:t>
            </w:r>
          </w:p>
        </w:tc>
      </w:tr>
      <w:tr>
        <w:tc>
          <w:tcPr>
            <w:tcW w:type="dxa" w:w="7200"/>
            <w:vAlign w:val="center"/>
          </w:tcPr>
          <w:p>
            <w:pPr>
              <w:jc w:val="center"/>
            </w:pPr>
            <w:r>
              <w:rPr>
                <w:b w:val="0"/>
                <w:sz w:val="16"/>
              </w:rPr>
              <w:t>Solver type</w:t>
            </w:r>
          </w:p>
        </w:tc>
        <w:tc>
          <w:tcPr>
            <w:tcW w:type="dxa" w:w="7200"/>
            <w:vAlign w:val="center"/>
          </w:tcPr>
          <w:p>
            <w:pPr>
              <w:jc w:val="center"/>
            </w:pPr>
            <w:r>
              <w:rPr>
                <w:b w:val="0"/>
                <w:sz w:val="16"/>
              </w:rPr>
              <w:t>Steady-state</w:t>
            </w:r>
          </w:p>
        </w:tc>
      </w:tr>
      <w:tr>
        <w:tc>
          <w:tcPr>
            <w:tcW w:type="dxa" w:w="7200"/>
            <w:vAlign w:val="center"/>
          </w:tcPr>
          <w:p>
            <w:pPr>
              <w:jc w:val="center"/>
            </w:pPr>
            <w:r>
              <w:rPr>
                <w:b w:val="0"/>
                <w:sz w:val="16"/>
              </w:rPr>
              <w:t>Temperature goals</w:t>
            </w:r>
          </w:p>
        </w:tc>
        <w:tc>
          <w:tcPr>
            <w:tcW w:type="dxa" w:w="7200"/>
            <w:vAlign w:val="center"/>
          </w:tcPr>
          <w:p>
            <w:pPr>
              <w:jc w:val="center"/>
            </w:pPr>
            <w:r>
              <w:rPr>
                <w:b w:val="0"/>
                <w:sz w:val="16"/>
              </w:rPr>
              <w:t>Bulk-average fluid temperature</w:t>
            </w:r>
          </w:p>
        </w:tc>
      </w:tr>
    </w:tbl>
    <w:p>
      <w:pPr>
        <w:pStyle w:val="Heading2"/>
      </w:pPr>
      <w:r>
        <w:t>Boundary Conditions</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center"/>
            <w:shd w:fill="1F4E79"/>
          </w:tcPr>
          <w:p>
            <w:pPr>
              <w:jc w:val="center"/>
            </w:pPr>
            <w:r>
              <w:rPr>
                <w:b/>
                <w:color w:val="FFFFFF"/>
                <w:sz w:val="16"/>
              </w:rPr>
              <w:t>Boundary</w:t>
            </w:r>
          </w:p>
        </w:tc>
        <w:tc>
          <w:tcPr>
            <w:tcW w:type="dxa" w:w="2880"/>
            <w:vAlign w:val="center"/>
            <w:shd w:fill="1F4E79"/>
          </w:tcPr>
          <w:p>
            <w:pPr>
              <w:jc w:val="center"/>
            </w:pPr>
            <w:r>
              <w:rPr>
                <w:b/>
                <w:color w:val="FFFFFF"/>
                <w:sz w:val="16"/>
              </w:rPr>
              <w:t>Case 1 to 3</w:t>
            </w:r>
          </w:p>
        </w:tc>
        <w:tc>
          <w:tcPr>
            <w:tcW w:type="dxa" w:w="2880"/>
            <w:vAlign w:val="center"/>
            <w:shd w:fill="1F4E79"/>
          </w:tcPr>
          <w:p>
            <w:pPr>
              <w:jc w:val="center"/>
            </w:pPr>
            <w:r>
              <w:rPr>
                <w:b/>
                <w:color w:val="FFFFFF"/>
                <w:sz w:val="16"/>
              </w:rPr>
              <w:t>Case 4</w:t>
            </w:r>
          </w:p>
        </w:tc>
        <w:tc>
          <w:tcPr>
            <w:tcW w:type="dxa" w:w="2880"/>
            <w:vAlign w:val="center"/>
            <w:shd w:fill="1F4E79"/>
          </w:tcPr>
          <w:p>
            <w:pPr>
              <w:jc w:val="center"/>
            </w:pPr>
            <w:r>
              <w:rPr>
                <w:b/>
                <w:color w:val="FFFFFF"/>
                <w:sz w:val="16"/>
              </w:rPr>
              <w:t>Temperature</w:t>
            </w:r>
          </w:p>
        </w:tc>
        <w:tc>
          <w:tcPr>
            <w:tcW w:type="dxa" w:w="2880"/>
            <w:vAlign w:val="center"/>
            <w:shd w:fill="1F4E79"/>
          </w:tcPr>
          <w:p>
            <w:pPr>
              <w:jc w:val="center"/>
            </w:pPr>
            <w:r>
              <w:rPr>
                <w:b/>
                <w:color w:val="FFFFFF"/>
                <w:sz w:val="16"/>
              </w:rPr>
              <w:t>Notes</w:t>
            </w:r>
          </w:p>
        </w:tc>
      </w:tr>
      <w:tr>
        <w:tc>
          <w:tcPr>
            <w:tcW w:type="dxa" w:w="2880"/>
            <w:vAlign w:val="center"/>
          </w:tcPr>
          <w:p>
            <w:pPr>
              <w:jc w:val="center"/>
            </w:pPr>
            <w:r>
              <w:rPr>
                <w:b w:val="0"/>
                <w:sz w:val="16"/>
              </w:rPr>
              <w:t>Hot tube-side inlet</w:t>
            </w:r>
          </w:p>
        </w:tc>
        <w:tc>
          <w:tcPr>
            <w:tcW w:type="dxa" w:w="2880"/>
            <w:vAlign w:val="center"/>
          </w:tcPr>
          <w:p>
            <w:pPr>
              <w:jc w:val="center"/>
            </w:pPr>
            <w:r>
              <w:rPr>
                <w:b w:val="0"/>
                <w:sz w:val="16"/>
              </w:rPr>
              <w:t>0.1 m/s equivalent inlet flow</w:t>
            </w:r>
          </w:p>
        </w:tc>
        <w:tc>
          <w:tcPr>
            <w:tcW w:type="dxa" w:w="2880"/>
            <w:vAlign w:val="center"/>
          </w:tcPr>
          <w:p>
            <w:pPr>
              <w:jc w:val="center"/>
            </w:pPr>
            <w:r>
              <w:rPr>
                <w:b w:val="0"/>
                <w:sz w:val="16"/>
              </w:rPr>
              <w:t>Same as Case 3</w:t>
            </w:r>
          </w:p>
        </w:tc>
        <w:tc>
          <w:tcPr>
            <w:tcW w:type="dxa" w:w="2880"/>
            <w:vAlign w:val="center"/>
          </w:tcPr>
          <w:p>
            <w:pPr>
              <w:jc w:val="center"/>
            </w:pPr>
            <w:r>
              <w:rPr>
                <w:b w:val="0"/>
                <w:sz w:val="16"/>
              </w:rPr>
              <w:t>100 degC</w:t>
            </w:r>
          </w:p>
        </w:tc>
        <w:tc>
          <w:tcPr>
            <w:tcW w:type="dxa" w:w="2880"/>
            <w:vAlign w:val="center"/>
          </w:tcPr>
          <w:p>
            <w:pPr>
              <w:jc w:val="center"/>
            </w:pPr>
            <w:r>
              <w:rPr>
                <w:b w:val="0"/>
                <w:sz w:val="16"/>
              </w:rPr>
              <w:t>Velocity inlet or equivalent final mass flow used consistently by case</w:t>
            </w:r>
          </w:p>
        </w:tc>
      </w:tr>
      <w:tr>
        <w:tc>
          <w:tcPr>
            <w:tcW w:type="dxa" w:w="2880"/>
            <w:vAlign w:val="center"/>
          </w:tcPr>
          <w:p>
            <w:pPr>
              <w:jc w:val="center"/>
            </w:pPr>
            <w:r>
              <w:rPr>
                <w:b w:val="0"/>
                <w:sz w:val="16"/>
              </w:rPr>
              <w:t>Hot tube-side outlet</w:t>
            </w:r>
          </w:p>
        </w:tc>
        <w:tc>
          <w:tcPr>
            <w:tcW w:type="dxa" w:w="2880"/>
            <w:vAlign w:val="center"/>
          </w:tcPr>
          <w:p>
            <w:pPr>
              <w:jc w:val="center"/>
            </w:pPr>
            <w:r>
              <w:rPr>
                <w:b w:val="0"/>
                <w:sz w:val="16"/>
              </w:rPr>
              <w:t>Environmental pressure</w:t>
            </w:r>
          </w:p>
        </w:tc>
        <w:tc>
          <w:tcPr>
            <w:tcW w:type="dxa" w:w="2880"/>
            <w:vAlign w:val="center"/>
          </w:tcPr>
          <w:p>
            <w:pPr>
              <w:jc w:val="center"/>
            </w:pPr>
            <w:r>
              <w:rPr>
                <w:b w:val="0"/>
                <w:sz w:val="16"/>
              </w:rPr>
              <w:t>Same</w:t>
            </w:r>
          </w:p>
        </w:tc>
        <w:tc>
          <w:tcPr>
            <w:tcW w:type="dxa" w:w="2880"/>
            <w:vAlign w:val="center"/>
          </w:tcPr>
          <w:p>
            <w:pPr>
              <w:jc w:val="center"/>
            </w:pPr>
            <w:r>
              <w:rPr>
                <w:b w:val="0"/>
                <w:sz w:val="16"/>
              </w:rPr>
              <w:t>101325 Pa reference</w:t>
            </w:r>
          </w:p>
        </w:tc>
        <w:tc>
          <w:tcPr>
            <w:tcW w:type="dxa" w:w="2880"/>
            <w:vAlign w:val="center"/>
          </w:tcPr>
          <w:p>
            <w:pPr>
              <w:jc w:val="center"/>
            </w:pPr>
            <w:r>
              <w:rPr>
                <w:b w:val="0"/>
                <w:sz w:val="16"/>
              </w:rPr>
              <w:t>Outlet temperature calculated by solver</w:t>
            </w:r>
          </w:p>
        </w:tc>
      </w:tr>
      <w:tr>
        <w:tc>
          <w:tcPr>
            <w:tcW w:type="dxa" w:w="2880"/>
            <w:vAlign w:val="center"/>
          </w:tcPr>
          <w:p>
            <w:pPr>
              <w:jc w:val="center"/>
            </w:pPr>
            <w:r>
              <w:rPr>
                <w:b w:val="0"/>
                <w:sz w:val="16"/>
              </w:rPr>
              <w:t>Cold shell-side inlet</w:t>
            </w:r>
          </w:p>
        </w:tc>
        <w:tc>
          <w:tcPr>
            <w:tcW w:type="dxa" w:w="2880"/>
            <w:vAlign w:val="center"/>
          </w:tcPr>
          <w:p>
            <w:pPr>
              <w:jc w:val="center"/>
            </w:pPr>
            <w:r>
              <w:rPr>
                <w:b w:val="0"/>
                <w:sz w:val="16"/>
              </w:rPr>
              <w:t>0.1 m/s</w:t>
            </w:r>
          </w:p>
        </w:tc>
        <w:tc>
          <w:tcPr>
            <w:tcW w:type="dxa" w:w="2880"/>
            <w:vAlign w:val="center"/>
          </w:tcPr>
          <w:p>
            <w:pPr>
              <w:jc w:val="center"/>
            </w:pPr>
            <w:r>
              <w:rPr>
                <w:b w:val="0"/>
                <w:sz w:val="16"/>
              </w:rPr>
              <w:t>0.2 m/s</w:t>
            </w:r>
          </w:p>
        </w:tc>
        <w:tc>
          <w:tcPr>
            <w:tcW w:type="dxa" w:w="2880"/>
            <w:vAlign w:val="center"/>
          </w:tcPr>
          <w:p>
            <w:pPr>
              <w:jc w:val="center"/>
            </w:pPr>
            <w:r>
              <w:rPr>
                <w:b w:val="0"/>
                <w:sz w:val="16"/>
              </w:rPr>
              <w:t>20 degC</w:t>
            </w:r>
          </w:p>
        </w:tc>
        <w:tc>
          <w:tcPr>
            <w:tcW w:type="dxa" w:w="2880"/>
            <w:vAlign w:val="center"/>
          </w:tcPr>
          <w:p>
            <w:pPr>
              <w:jc w:val="center"/>
            </w:pPr>
            <w:r>
              <w:rPr>
                <w:b w:val="0"/>
                <w:sz w:val="16"/>
              </w:rPr>
              <w:t>Case 4 doubles shell-side velocity</w:t>
            </w:r>
          </w:p>
        </w:tc>
      </w:tr>
      <w:tr>
        <w:tc>
          <w:tcPr>
            <w:tcW w:type="dxa" w:w="2880"/>
            <w:vAlign w:val="center"/>
          </w:tcPr>
          <w:p>
            <w:pPr>
              <w:jc w:val="center"/>
            </w:pPr>
            <w:r>
              <w:rPr>
                <w:b w:val="0"/>
                <w:sz w:val="16"/>
              </w:rPr>
              <w:t>Cold shell-side outlet</w:t>
            </w:r>
          </w:p>
        </w:tc>
        <w:tc>
          <w:tcPr>
            <w:tcW w:type="dxa" w:w="2880"/>
            <w:vAlign w:val="center"/>
          </w:tcPr>
          <w:p>
            <w:pPr>
              <w:jc w:val="center"/>
            </w:pPr>
            <w:r>
              <w:rPr>
                <w:b w:val="0"/>
                <w:sz w:val="16"/>
              </w:rPr>
              <w:t>Environmental pressure</w:t>
            </w:r>
          </w:p>
        </w:tc>
        <w:tc>
          <w:tcPr>
            <w:tcW w:type="dxa" w:w="2880"/>
            <w:vAlign w:val="center"/>
          </w:tcPr>
          <w:p>
            <w:pPr>
              <w:jc w:val="center"/>
            </w:pPr>
            <w:r>
              <w:rPr>
                <w:b w:val="0"/>
                <w:sz w:val="16"/>
              </w:rPr>
              <w:t>Same</w:t>
            </w:r>
          </w:p>
        </w:tc>
        <w:tc>
          <w:tcPr>
            <w:tcW w:type="dxa" w:w="2880"/>
            <w:vAlign w:val="center"/>
          </w:tcPr>
          <w:p>
            <w:pPr>
              <w:jc w:val="center"/>
            </w:pPr>
            <w:r>
              <w:rPr>
                <w:b w:val="0"/>
                <w:sz w:val="16"/>
              </w:rPr>
              <w:t>101325 Pa reference</w:t>
            </w:r>
          </w:p>
        </w:tc>
        <w:tc>
          <w:tcPr>
            <w:tcW w:type="dxa" w:w="2880"/>
            <w:vAlign w:val="center"/>
          </w:tcPr>
          <w:p>
            <w:pPr>
              <w:jc w:val="center"/>
            </w:pPr>
            <w:r>
              <w:rPr>
                <w:b w:val="0"/>
                <w:sz w:val="16"/>
              </w:rPr>
              <w:t>Outlet temperature calculated by solver</w:t>
            </w:r>
          </w:p>
        </w:tc>
      </w:tr>
    </w:tbl>
    <w:p>
      <w:pPr>
        <w:pStyle w:val="Heading2"/>
      </w:pPr>
      <w:r>
        <w:t>Mesh Strategy</w:t>
      </w:r>
    </w:p>
    <w:p>
      <w:pPr>
        <w:spacing w:after="80"/>
        <w:jc w:val="left"/>
      </w:pPr>
      <w:r>
        <w:t>A local mesh strategy was used for the final cases. Refinement was focused around the tube bundle, baffles, tube sheets, and shell-side passages where velocity and thermal gradients are highest. This avoided over-refining the entire computational domain while improving resolution in the heat-transfer core.</w:t>
      </w:r>
    </w:p>
    <w:p>
      <w:pPr>
        <w:spacing w:after="80"/>
        <w:jc w:val="left"/>
      </w:pPr>
      <w:r>
        <w:t>The local mesh strategy was retained across the final cases so that design comparisons were based on geometry and boundary-condition changes rather than mesh changes.</w:t>
      </w:r>
    </w:p>
    <w:p>
      <w:pPr>
        <w:pStyle w:val="Heading2"/>
      </w:pPr>
      <w:r>
        <w:t>Post-processing Metrics</w:t>
      </w:r>
    </w:p>
    <w:p>
      <w:pPr>
        <w:spacing w:after="80"/>
        <w:jc w:val="left"/>
      </w:pPr>
      <w:r>
        <w:t>The main validation and comparison metrics were bulk-average inlet and outlet temperatures, mass flow rate balance, tube-side pressure drop, shell-side pressure drop, and heat transfer rate.</w:t>
      </w:r>
    </w:p>
    <w:p>
      <w:pPr>
        <w:spacing w:after="80"/>
        <w:jc w:val="left"/>
      </w:pPr>
      <w:r>
        <w:t>Heat transfer was calculated from both the hot and cold sides using:</w:t>
      </w:r>
    </w:p>
    <w:p>
      <w:pPr>
        <w:pStyle w:val="ListBullet"/>
        <w:spacing w:after="40"/>
      </w:pPr>
      <w:r>
        <w:t>Q_hot = m_hot x Cp x (T_hot,in - T_hot,out)</w:t>
      </w:r>
    </w:p>
    <w:p>
      <w:pPr>
        <w:pStyle w:val="ListBullet"/>
        <w:spacing w:after="40"/>
      </w:pPr>
      <w:r>
        <w:t>Q_cold = m_cold x Cp x (T_cold,out - T_cold,in)</w:t>
      </w:r>
    </w:p>
    <w:p>
      <w:pPr>
        <w:pStyle w:val="ListBullet"/>
        <w:spacing w:after="40"/>
      </w:pPr>
      <w:r>
        <w:t>Cp for water = 4180 J/kg-K</w:t>
      </w:r>
    </w:p>
    <w:p>
      <w:pPr>
        <w:spacing w:after="80"/>
        <w:jc w:val="left"/>
      </w:pPr>
      <w:r>
        <w:t>The clean tables in this report are the controlling numerical results. The included images are used as visual evidence of temperature field, velocity distribution, and flow trajectory behavior.</w:t>
      </w:r>
    </w:p>
    <w:p>
      <w:pPr>
        <w:pStyle w:val="Heading1"/>
      </w:pPr>
      <w:r>
        <w:t>Final Results and Case Comparison</w:t>
      </w:r>
    </w:p>
    <w:tbl>
      <w:tblPr>
        <w:tblStyle w:val="TableGrid"/>
        <w:tblW w:type="auto" w:w="0"/>
        <w:jc w:val="center"/>
        <w:tblLook w:firstColumn="1" w:firstRow="1" w:lastColumn="0" w:lastRow="0" w:noHBand="0" w:noVBand="1" w:val="04A0"/>
      </w:tblPr>
      <w:tblGrid>
        <w:gridCol w:w="1200"/>
        <w:gridCol w:w="1200"/>
        <w:gridCol w:w="1200"/>
        <w:gridCol w:w="1200"/>
        <w:gridCol w:w="1200"/>
        <w:gridCol w:w="1200"/>
        <w:gridCol w:w="1200"/>
        <w:gridCol w:w="1200"/>
        <w:gridCol w:w="1200"/>
        <w:gridCol w:w="1200"/>
        <w:gridCol w:w="1200"/>
        <w:gridCol w:w="1200"/>
      </w:tblGrid>
      <w:tr>
        <w:tc>
          <w:tcPr>
            <w:tcW w:type="dxa" w:w="1200"/>
            <w:vAlign w:val="center"/>
            <w:shd w:fill="1F4E79"/>
          </w:tcPr>
          <w:p>
            <w:pPr>
              <w:jc w:val="center"/>
            </w:pPr>
            <w:r>
              <w:rPr>
                <w:b/>
                <w:color w:val="FFFFFF"/>
                <w:sz w:val="16"/>
              </w:rPr>
              <w:t>Case</w:t>
            </w:r>
          </w:p>
        </w:tc>
        <w:tc>
          <w:tcPr>
            <w:tcW w:type="dxa" w:w="1200"/>
            <w:vAlign w:val="center"/>
            <w:shd w:fill="1F4E79"/>
          </w:tcPr>
          <w:p>
            <w:pPr>
              <w:jc w:val="center"/>
            </w:pPr>
            <w:r>
              <w:rPr>
                <w:b/>
                <w:color w:val="FFFFFF"/>
                <w:sz w:val="16"/>
              </w:rPr>
              <w:t>Configuration</w:t>
            </w:r>
          </w:p>
        </w:tc>
        <w:tc>
          <w:tcPr>
            <w:tcW w:type="dxa" w:w="1200"/>
            <w:vAlign w:val="center"/>
            <w:shd w:fill="1F4E79"/>
          </w:tcPr>
          <w:p>
            <w:pPr>
              <w:jc w:val="center"/>
            </w:pPr>
            <w:r>
              <w:rPr>
                <w:b/>
                <w:color w:val="FFFFFF"/>
                <w:sz w:val="16"/>
              </w:rPr>
              <w:t>m hot (kg/s)</w:t>
            </w:r>
          </w:p>
        </w:tc>
        <w:tc>
          <w:tcPr>
            <w:tcW w:type="dxa" w:w="1200"/>
            <w:vAlign w:val="center"/>
            <w:shd w:fill="1F4E79"/>
          </w:tcPr>
          <w:p>
            <w:pPr>
              <w:jc w:val="center"/>
            </w:pPr>
            <w:r>
              <w:rPr>
                <w:b/>
                <w:color w:val="FFFFFF"/>
                <w:sz w:val="16"/>
              </w:rPr>
              <w:t>m cold (kg/s)</w:t>
            </w:r>
          </w:p>
        </w:tc>
        <w:tc>
          <w:tcPr>
            <w:tcW w:type="dxa" w:w="1200"/>
            <w:vAlign w:val="center"/>
            <w:shd w:fill="1F4E79"/>
          </w:tcPr>
          <w:p>
            <w:pPr>
              <w:jc w:val="center"/>
            </w:pPr>
            <w:r>
              <w:rPr>
                <w:b/>
                <w:color w:val="FFFFFF"/>
                <w:sz w:val="16"/>
              </w:rPr>
              <w:t>Hot out (degC)</w:t>
            </w:r>
          </w:p>
        </w:tc>
        <w:tc>
          <w:tcPr>
            <w:tcW w:type="dxa" w:w="1200"/>
            <w:vAlign w:val="center"/>
            <w:shd w:fill="1F4E79"/>
          </w:tcPr>
          <w:p>
            <w:pPr>
              <w:jc w:val="center"/>
            </w:pPr>
            <w:r>
              <w:rPr>
                <w:b/>
                <w:color w:val="FFFFFF"/>
                <w:sz w:val="16"/>
              </w:rPr>
              <w:t>Cold out (degC)</w:t>
            </w:r>
          </w:p>
        </w:tc>
        <w:tc>
          <w:tcPr>
            <w:tcW w:type="dxa" w:w="1200"/>
            <w:vAlign w:val="center"/>
            <w:shd w:fill="1F4E79"/>
          </w:tcPr>
          <w:p>
            <w:pPr>
              <w:jc w:val="center"/>
            </w:pPr>
            <w:r>
              <w:rPr>
                <w:b/>
                <w:color w:val="FFFFFF"/>
                <w:sz w:val="16"/>
              </w:rPr>
              <w:t>Hot drop (degC)</w:t>
            </w:r>
          </w:p>
        </w:tc>
        <w:tc>
          <w:tcPr>
            <w:tcW w:type="dxa" w:w="1200"/>
            <w:vAlign w:val="center"/>
            <w:shd w:fill="1F4E79"/>
          </w:tcPr>
          <w:p>
            <w:pPr>
              <w:jc w:val="center"/>
            </w:pPr>
            <w:r>
              <w:rPr>
                <w:b/>
                <w:color w:val="FFFFFF"/>
                <w:sz w:val="16"/>
              </w:rPr>
              <w:t>Cold rise (degC)</w:t>
            </w:r>
          </w:p>
        </w:tc>
        <w:tc>
          <w:tcPr>
            <w:tcW w:type="dxa" w:w="1200"/>
            <w:vAlign w:val="center"/>
            <w:shd w:fill="1F4E79"/>
          </w:tcPr>
          <w:p>
            <w:pPr>
              <w:jc w:val="center"/>
            </w:pPr>
            <w:r>
              <w:rPr>
                <w:b/>
                <w:color w:val="FFFFFF"/>
                <w:sz w:val="16"/>
              </w:rPr>
              <w:t>Q hot (kW)</w:t>
            </w:r>
          </w:p>
        </w:tc>
        <w:tc>
          <w:tcPr>
            <w:tcW w:type="dxa" w:w="1200"/>
            <w:vAlign w:val="center"/>
            <w:shd w:fill="1F4E79"/>
          </w:tcPr>
          <w:p>
            <w:pPr>
              <w:jc w:val="center"/>
            </w:pPr>
            <w:r>
              <w:rPr>
                <w:b/>
                <w:color w:val="FFFFFF"/>
                <w:sz w:val="16"/>
              </w:rPr>
              <w:t>Q cold (kW)</w:t>
            </w:r>
          </w:p>
        </w:tc>
        <w:tc>
          <w:tcPr>
            <w:tcW w:type="dxa" w:w="1200"/>
            <w:vAlign w:val="center"/>
            <w:shd w:fill="1F4E79"/>
          </w:tcPr>
          <w:p>
            <w:pPr>
              <w:jc w:val="center"/>
            </w:pPr>
            <w:r>
              <w:rPr>
                <w:b/>
                <w:color w:val="FFFFFF"/>
                <w:sz w:val="16"/>
              </w:rPr>
              <w:t>Energy error (%)</w:t>
            </w:r>
          </w:p>
        </w:tc>
        <w:tc>
          <w:tcPr>
            <w:tcW w:type="dxa" w:w="1200"/>
            <w:vAlign w:val="center"/>
            <w:shd w:fill="1F4E79"/>
          </w:tcPr>
          <w:p>
            <w:pPr>
              <w:jc w:val="center"/>
            </w:pPr>
            <w:r>
              <w:rPr>
                <w:b/>
                <w:color w:val="FFFFFF"/>
                <w:sz w:val="16"/>
              </w:rPr>
              <w:t>Notes</w:t>
            </w:r>
          </w:p>
        </w:tc>
      </w:tr>
      <w:tr>
        <w:tc>
          <w:tcPr>
            <w:tcW w:type="dxa" w:w="1200"/>
            <w:vAlign w:val="center"/>
          </w:tcPr>
          <w:p>
            <w:pPr>
              <w:jc w:val="center"/>
            </w:pPr>
            <w:r>
              <w:rPr>
                <w:b w:val="0"/>
                <w:sz w:val="16"/>
              </w:rPr>
              <w:t>Case 1</w:t>
            </w:r>
          </w:p>
        </w:tc>
        <w:tc>
          <w:tcPr>
            <w:tcW w:type="dxa" w:w="1200"/>
            <w:vAlign w:val="center"/>
          </w:tcPr>
          <w:p>
            <w:pPr>
              <w:jc w:val="center"/>
            </w:pPr>
            <w:r>
              <w:rPr>
                <w:b w:val="0"/>
                <w:sz w:val="16"/>
              </w:rPr>
              <w:t>Baseline Counterflow HX</w:t>
            </w:r>
          </w:p>
        </w:tc>
        <w:tc>
          <w:tcPr>
            <w:tcW w:type="dxa" w:w="1200"/>
            <w:vAlign w:val="center"/>
          </w:tcPr>
          <w:p>
            <w:pPr>
              <w:jc w:val="center"/>
            </w:pPr>
            <w:r>
              <w:rPr>
                <w:b w:val="0"/>
                <w:sz w:val="16"/>
              </w:rPr>
              <w:t>0.4716</w:t>
            </w:r>
          </w:p>
        </w:tc>
        <w:tc>
          <w:tcPr>
            <w:tcW w:type="dxa" w:w="1200"/>
            <w:vAlign w:val="center"/>
          </w:tcPr>
          <w:p>
            <w:pPr>
              <w:jc w:val="center"/>
            </w:pPr>
            <w:r>
              <w:rPr>
                <w:b w:val="0"/>
                <w:sz w:val="16"/>
              </w:rPr>
              <w:t>1.3118</w:t>
            </w:r>
          </w:p>
        </w:tc>
        <w:tc>
          <w:tcPr>
            <w:tcW w:type="dxa" w:w="1200"/>
            <w:vAlign w:val="center"/>
          </w:tcPr>
          <w:p>
            <w:pPr>
              <w:jc w:val="center"/>
            </w:pPr>
            <w:r>
              <w:rPr>
                <w:b w:val="0"/>
                <w:sz w:val="16"/>
              </w:rPr>
              <w:t>86.71</w:t>
            </w:r>
          </w:p>
        </w:tc>
        <w:tc>
          <w:tcPr>
            <w:tcW w:type="dxa" w:w="1200"/>
            <w:vAlign w:val="center"/>
          </w:tcPr>
          <w:p>
            <w:pPr>
              <w:jc w:val="center"/>
            </w:pPr>
            <w:r>
              <w:rPr>
                <w:b w:val="0"/>
                <w:sz w:val="16"/>
              </w:rPr>
              <w:t>24.80</w:t>
            </w:r>
          </w:p>
        </w:tc>
        <w:tc>
          <w:tcPr>
            <w:tcW w:type="dxa" w:w="1200"/>
            <w:vAlign w:val="center"/>
          </w:tcPr>
          <w:p>
            <w:pPr>
              <w:jc w:val="center"/>
            </w:pPr>
            <w:r>
              <w:rPr>
                <w:b w:val="0"/>
                <w:sz w:val="16"/>
              </w:rPr>
              <w:t>13.29</w:t>
            </w:r>
          </w:p>
        </w:tc>
        <w:tc>
          <w:tcPr>
            <w:tcW w:type="dxa" w:w="1200"/>
            <w:vAlign w:val="center"/>
          </w:tcPr>
          <w:p>
            <w:pPr>
              <w:jc w:val="center"/>
            </w:pPr>
            <w:r>
              <w:rPr>
                <w:b w:val="0"/>
                <w:sz w:val="16"/>
              </w:rPr>
              <w:t>4.80</w:t>
            </w:r>
          </w:p>
        </w:tc>
        <w:tc>
          <w:tcPr>
            <w:tcW w:type="dxa" w:w="1200"/>
            <w:vAlign w:val="center"/>
          </w:tcPr>
          <w:p>
            <w:pPr>
              <w:jc w:val="center"/>
            </w:pPr>
            <w:r>
              <w:rPr>
                <w:b w:val="0"/>
                <w:sz w:val="16"/>
              </w:rPr>
              <w:t>26.2</w:t>
            </w:r>
          </w:p>
        </w:tc>
        <w:tc>
          <w:tcPr>
            <w:tcW w:type="dxa" w:w="1200"/>
            <w:vAlign w:val="center"/>
          </w:tcPr>
          <w:p>
            <w:pPr>
              <w:jc w:val="center"/>
            </w:pPr>
            <w:r>
              <w:rPr>
                <w:b w:val="0"/>
                <w:sz w:val="16"/>
              </w:rPr>
              <w:t>26.3</w:t>
            </w:r>
          </w:p>
        </w:tc>
        <w:tc>
          <w:tcPr>
            <w:tcW w:type="dxa" w:w="1200"/>
            <w:vAlign w:val="center"/>
          </w:tcPr>
          <w:p>
            <w:pPr>
              <w:jc w:val="center"/>
            </w:pPr>
            <w:r>
              <w:rPr>
                <w:b w:val="0"/>
                <w:sz w:val="16"/>
              </w:rPr>
              <w:t>0.46</w:t>
            </w:r>
          </w:p>
        </w:tc>
        <w:tc>
          <w:tcPr>
            <w:tcW w:type="dxa" w:w="1200"/>
            <w:vAlign w:val="center"/>
          </w:tcPr>
          <w:p>
            <w:pPr>
              <w:jc w:val="center"/>
            </w:pPr>
            <w:r>
              <w:rPr>
                <w:b w:val="0"/>
                <w:sz w:val="16"/>
              </w:rPr>
              <w:t>Validated baseline</w:t>
            </w:r>
          </w:p>
        </w:tc>
      </w:tr>
      <w:tr>
        <w:tc>
          <w:tcPr>
            <w:tcW w:type="dxa" w:w="1200"/>
            <w:vAlign w:val="center"/>
          </w:tcPr>
          <w:p>
            <w:pPr>
              <w:jc w:val="center"/>
            </w:pPr>
            <w:r>
              <w:rPr>
                <w:b w:val="0"/>
                <w:sz w:val="16"/>
              </w:rPr>
              <w:t>Case 2</w:t>
            </w:r>
          </w:p>
        </w:tc>
        <w:tc>
          <w:tcPr>
            <w:tcW w:type="dxa" w:w="1200"/>
            <w:vAlign w:val="center"/>
          </w:tcPr>
          <w:p>
            <w:pPr>
              <w:jc w:val="center"/>
            </w:pPr>
            <w:r>
              <w:rPr>
                <w:b w:val="0"/>
                <w:sz w:val="16"/>
              </w:rPr>
              <w:t>Parallel Flow Comparison</w:t>
            </w:r>
          </w:p>
        </w:tc>
        <w:tc>
          <w:tcPr>
            <w:tcW w:type="dxa" w:w="1200"/>
            <w:vAlign w:val="center"/>
          </w:tcPr>
          <w:p>
            <w:pPr>
              <w:jc w:val="center"/>
            </w:pPr>
            <w:r>
              <w:rPr>
                <w:b w:val="0"/>
                <w:sz w:val="16"/>
              </w:rPr>
              <w:t>0.4716</w:t>
            </w:r>
          </w:p>
        </w:tc>
        <w:tc>
          <w:tcPr>
            <w:tcW w:type="dxa" w:w="1200"/>
            <w:vAlign w:val="center"/>
          </w:tcPr>
          <w:p>
            <w:pPr>
              <w:jc w:val="center"/>
            </w:pPr>
            <w:r>
              <w:rPr>
                <w:b w:val="0"/>
                <w:sz w:val="16"/>
              </w:rPr>
              <w:t>1.3125</w:t>
            </w:r>
          </w:p>
        </w:tc>
        <w:tc>
          <w:tcPr>
            <w:tcW w:type="dxa" w:w="1200"/>
            <w:vAlign w:val="center"/>
          </w:tcPr>
          <w:p>
            <w:pPr>
              <w:jc w:val="center"/>
            </w:pPr>
            <w:r>
              <w:rPr>
                <w:b w:val="0"/>
                <w:sz w:val="16"/>
              </w:rPr>
              <w:t>87.15</w:t>
            </w:r>
          </w:p>
        </w:tc>
        <w:tc>
          <w:tcPr>
            <w:tcW w:type="dxa" w:w="1200"/>
            <w:vAlign w:val="center"/>
          </w:tcPr>
          <w:p>
            <w:pPr>
              <w:jc w:val="center"/>
            </w:pPr>
            <w:r>
              <w:rPr>
                <w:b w:val="0"/>
                <w:sz w:val="16"/>
              </w:rPr>
              <w:t>24.57</w:t>
            </w:r>
          </w:p>
        </w:tc>
        <w:tc>
          <w:tcPr>
            <w:tcW w:type="dxa" w:w="1200"/>
            <w:vAlign w:val="center"/>
          </w:tcPr>
          <w:p>
            <w:pPr>
              <w:jc w:val="center"/>
            </w:pPr>
            <w:r>
              <w:rPr>
                <w:b w:val="0"/>
                <w:sz w:val="16"/>
              </w:rPr>
              <w:t>12.85</w:t>
            </w:r>
          </w:p>
        </w:tc>
        <w:tc>
          <w:tcPr>
            <w:tcW w:type="dxa" w:w="1200"/>
            <w:vAlign w:val="center"/>
          </w:tcPr>
          <w:p>
            <w:pPr>
              <w:jc w:val="center"/>
            </w:pPr>
            <w:r>
              <w:rPr>
                <w:b w:val="0"/>
                <w:sz w:val="16"/>
              </w:rPr>
              <w:t>4.57</w:t>
            </w:r>
          </w:p>
        </w:tc>
        <w:tc>
          <w:tcPr>
            <w:tcW w:type="dxa" w:w="1200"/>
            <w:vAlign w:val="center"/>
          </w:tcPr>
          <w:p>
            <w:pPr>
              <w:jc w:val="center"/>
            </w:pPr>
            <w:r>
              <w:rPr>
                <w:b w:val="0"/>
                <w:sz w:val="16"/>
              </w:rPr>
              <w:t>25.3</w:t>
            </w:r>
          </w:p>
        </w:tc>
        <w:tc>
          <w:tcPr>
            <w:tcW w:type="dxa" w:w="1200"/>
            <w:vAlign w:val="center"/>
          </w:tcPr>
          <w:p>
            <w:pPr>
              <w:jc w:val="center"/>
            </w:pPr>
            <w:r>
              <w:rPr>
                <w:b w:val="0"/>
                <w:sz w:val="16"/>
              </w:rPr>
              <w:t>25.1</w:t>
            </w:r>
          </w:p>
        </w:tc>
        <w:tc>
          <w:tcPr>
            <w:tcW w:type="dxa" w:w="1200"/>
            <w:vAlign w:val="center"/>
          </w:tcPr>
          <w:p>
            <w:pPr>
              <w:jc w:val="center"/>
            </w:pPr>
            <w:r>
              <w:rPr>
                <w:b w:val="0"/>
                <w:sz w:val="16"/>
              </w:rPr>
              <w:t>1.03</w:t>
            </w:r>
          </w:p>
        </w:tc>
        <w:tc>
          <w:tcPr>
            <w:tcW w:type="dxa" w:w="1200"/>
            <w:vAlign w:val="center"/>
          </w:tcPr>
          <w:p>
            <w:pPr>
              <w:jc w:val="center"/>
            </w:pPr>
            <w:r>
              <w:rPr>
                <w:b w:val="0"/>
                <w:sz w:val="16"/>
              </w:rPr>
              <w:t>Slightly lower performance than baseline</w:t>
            </w:r>
          </w:p>
        </w:tc>
      </w:tr>
      <w:tr>
        <w:tc>
          <w:tcPr>
            <w:tcW w:type="dxa" w:w="1200"/>
            <w:vAlign w:val="center"/>
          </w:tcPr>
          <w:p>
            <w:pPr>
              <w:jc w:val="center"/>
            </w:pPr>
            <w:r>
              <w:rPr>
                <w:b w:val="0"/>
                <w:sz w:val="16"/>
              </w:rPr>
              <w:t>Case 3</w:t>
            </w:r>
          </w:p>
        </w:tc>
        <w:tc>
          <w:tcPr>
            <w:tcW w:type="dxa" w:w="1200"/>
            <w:vAlign w:val="center"/>
          </w:tcPr>
          <w:p>
            <w:pPr>
              <w:jc w:val="center"/>
            </w:pPr>
            <w:r>
              <w:rPr>
                <w:b w:val="0"/>
                <w:sz w:val="16"/>
              </w:rPr>
              <w:t>Inline Tube-Side Inlet Optimization</w:t>
            </w:r>
          </w:p>
        </w:tc>
        <w:tc>
          <w:tcPr>
            <w:tcW w:type="dxa" w:w="1200"/>
            <w:vAlign w:val="center"/>
          </w:tcPr>
          <w:p>
            <w:pPr>
              <w:jc w:val="center"/>
            </w:pPr>
            <w:r>
              <w:rPr>
                <w:b w:val="0"/>
                <w:sz w:val="16"/>
              </w:rPr>
              <w:t>0.4725</w:t>
            </w:r>
          </w:p>
        </w:tc>
        <w:tc>
          <w:tcPr>
            <w:tcW w:type="dxa" w:w="1200"/>
            <w:vAlign w:val="center"/>
          </w:tcPr>
          <w:p>
            <w:pPr>
              <w:jc w:val="center"/>
            </w:pPr>
            <w:r>
              <w:rPr>
                <w:b w:val="0"/>
                <w:sz w:val="16"/>
              </w:rPr>
              <w:t>1.3126</w:t>
            </w:r>
          </w:p>
        </w:tc>
        <w:tc>
          <w:tcPr>
            <w:tcW w:type="dxa" w:w="1200"/>
            <w:vAlign w:val="center"/>
          </w:tcPr>
          <w:p>
            <w:pPr>
              <w:jc w:val="center"/>
            </w:pPr>
            <w:r>
              <w:rPr>
                <w:b w:val="0"/>
                <w:sz w:val="16"/>
              </w:rPr>
              <w:t>86.22</w:t>
            </w:r>
          </w:p>
        </w:tc>
        <w:tc>
          <w:tcPr>
            <w:tcW w:type="dxa" w:w="1200"/>
            <w:vAlign w:val="center"/>
          </w:tcPr>
          <w:p>
            <w:pPr>
              <w:jc w:val="center"/>
            </w:pPr>
            <w:r>
              <w:rPr>
                <w:b w:val="0"/>
                <w:sz w:val="16"/>
              </w:rPr>
              <w:t>24.96</w:t>
            </w:r>
          </w:p>
        </w:tc>
        <w:tc>
          <w:tcPr>
            <w:tcW w:type="dxa" w:w="1200"/>
            <w:vAlign w:val="center"/>
          </w:tcPr>
          <w:p>
            <w:pPr>
              <w:jc w:val="center"/>
            </w:pPr>
            <w:r>
              <w:rPr>
                <w:b w:val="0"/>
                <w:sz w:val="16"/>
              </w:rPr>
              <w:t>13.78</w:t>
            </w:r>
          </w:p>
        </w:tc>
        <w:tc>
          <w:tcPr>
            <w:tcW w:type="dxa" w:w="1200"/>
            <w:vAlign w:val="center"/>
          </w:tcPr>
          <w:p>
            <w:pPr>
              <w:jc w:val="center"/>
            </w:pPr>
            <w:r>
              <w:rPr>
                <w:b w:val="0"/>
                <w:sz w:val="16"/>
              </w:rPr>
              <w:t>4.96</w:t>
            </w:r>
          </w:p>
        </w:tc>
        <w:tc>
          <w:tcPr>
            <w:tcW w:type="dxa" w:w="1200"/>
            <w:vAlign w:val="center"/>
          </w:tcPr>
          <w:p>
            <w:pPr>
              <w:jc w:val="center"/>
            </w:pPr>
            <w:r>
              <w:rPr>
                <w:b w:val="0"/>
                <w:sz w:val="16"/>
              </w:rPr>
              <w:t>27.2</w:t>
            </w:r>
          </w:p>
        </w:tc>
        <w:tc>
          <w:tcPr>
            <w:tcW w:type="dxa" w:w="1200"/>
            <w:vAlign w:val="center"/>
          </w:tcPr>
          <w:p>
            <w:pPr>
              <w:jc w:val="center"/>
            </w:pPr>
            <w:r>
              <w:rPr>
                <w:b w:val="0"/>
                <w:sz w:val="16"/>
              </w:rPr>
              <w:t>27.2</w:t>
            </w:r>
          </w:p>
        </w:tc>
        <w:tc>
          <w:tcPr>
            <w:tcW w:type="dxa" w:w="1200"/>
            <w:vAlign w:val="center"/>
          </w:tcPr>
          <w:p>
            <w:pPr>
              <w:jc w:val="center"/>
            </w:pPr>
            <w:r>
              <w:rPr>
                <w:b w:val="0"/>
                <w:sz w:val="16"/>
              </w:rPr>
              <w:t>0.01</w:t>
            </w:r>
          </w:p>
        </w:tc>
        <w:tc>
          <w:tcPr>
            <w:tcW w:type="dxa" w:w="1200"/>
            <w:vAlign w:val="center"/>
          </w:tcPr>
          <w:p>
            <w:pPr>
              <w:jc w:val="center"/>
            </w:pPr>
            <w:r>
              <w:rPr>
                <w:b w:val="0"/>
                <w:sz w:val="16"/>
              </w:rPr>
              <w:t>Best balanced design</w:t>
            </w:r>
          </w:p>
        </w:tc>
      </w:tr>
      <w:tr>
        <w:tc>
          <w:tcPr>
            <w:tcW w:type="dxa" w:w="1200"/>
            <w:vAlign w:val="center"/>
          </w:tcPr>
          <w:p>
            <w:pPr>
              <w:jc w:val="center"/>
            </w:pPr>
            <w:r>
              <w:rPr>
                <w:b w:val="0"/>
                <w:sz w:val="16"/>
              </w:rPr>
              <w:t>Case 4</w:t>
            </w:r>
          </w:p>
        </w:tc>
        <w:tc>
          <w:tcPr>
            <w:tcW w:type="dxa" w:w="1200"/>
            <w:vAlign w:val="center"/>
          </w:tcPr>
          <w:p>
            <w:pPr>
              <w:jc w:val="center"/>
            </w:pPr>
            <w:r>
              <w:rPr>
                <w:b w:val="0"/>
                <w:sz w:val="16"/>
              </w:rPr>
              <w:t>Increased Shell-Side Velocity</w:t>
            </w:r>
          </w:p>
        </w:tc>
        <w:tc>
          <w:tcPr>
            <w:tcW w:type="dxa" w:w="1200"/>
            <w:vAlign w:val="center"/>
          </w:tcPr>
          <w:p>
            <w:pPr>
              <w:jc w:val="center"/>
            </w:pPr>
            <w:r>
              <w:rPr>
                <w:b w:val="0"/>
                <w:sz w:val="16"/>
              </w:rPr>
              <w:t>0.4725</w:t>
            </w:r>
          </w:p>
        </w:tc>
        <w:tc>
          <w:tcPr>
            <w:tcW w:type="dxa" w:w="1200"/>
            <w:vAlign w:val="center"/>
          </w:tcPr>
          <w:p>
            <w:pPr>
              <w:jc w:val="center"/>
            </w:pPr>
            <w:r>
              <w:rPr>
                <w:b w:val="0"/>
                <w:sz w:val="16"/>
              </w:rPr>
              <w:t>2.6252</w:t>
            </w:r>
          </w:p>
        </w:tc>
        <w:tc>
          <w:tcPr>
            <w:tcW w:type="dxa" w:w="1200"/>
            <w:vAlign w:val="center"/>
          </w:tcPr>
          <w:p>
            <w:pPr>
              <w:jc w:val="center"/>
            </w:pPr>
            <w:r>
              <w:rPr>
                <w:b w:val="0"/>
                <w:sz w:val="16"/>
              </w:rPr>
              <w:t>84.75</w:t>
            </w:r>
          </w:p>
        </w:tc>
        <w:tc>
          <w:tcPr>
            <w:tcW w:type="dxa" w:w="1200"/>
            <w:vAlign w:val="center"/>
          </w:tcPr>
          <w:p>
            <w:pPr>
              <w:jc w:val="center"/>
            </w:pPr>
            <w:r>
              <w:rPr>
                <w:b w:val="0"/>
                <w:sz w:val="16"/>
              </w:rPr>
              <w:t>22.72</w:t>
            </w:r>
          </w:p>
        </w:tc>
        <w:tc>
          <w:tcPr>
            <w:tcW w:type="dxa" w:w="1200"/>
            <w:vAlign w:val="center"/>
          </w:tcPr>
          <w:p>
            <w:pPr>
              <w:jc w:val="center"/>
            </w:pPr>
            <w:r>
              <w:rPr>
                <w:b w:val="0"/>
                <w:sz w:val="16"/>
              </w:rPr>
              <w:t>15.25</w:t>
            </w:r>
          </w:p>
        </w:tc>
        <w:tc>
          <w:tcPr>
            <w:tcW w:type="dxa" w:w="1200"/>
            <w:vAlign w:val="center"/>
          </w:tcPr>
          <w:p>
            <w:pPr>
              <w:jc w:val="center"/>
            </w:pPr>
            <w:r>
              <w:rPr>
                <w:b w:val="0"/>
                <w:sz w:val="16"/>
              </w:rPr>
              <w:t>2.72</w:t>
            </w:r>
          </w:p>
        </w:tc>
        <w:tc>
          <w:tcPr>
            <w:tcW w:type="dxa" w:w="1200"/>
            <w:vAlign w:val="center"/>
          </w:tcPr>
          <w:p>
            <w:pPr>
              <w:jc w:val="center"/>
            </w:pPr>
            <w:r>
              <w:rPr>
                <w:b w:val="0"/>
                <w:sz w:val="16"/>
              </w:rPr>
              <w:t>30.1</w:t>
            </w:r>
          </w:p>
        </w:tc>
        <w:tc>
          <w:tcPr>
            <w:tcW w:type="dxa" w:w="1200"/>
            <w:vAlign w:val="center"/>
          </w:tcPr>
          <w:p>
            <w:pPr>
              <w:jc w:val="center"/>
            </w:pPr>
            <w:r>
              <w:rPr>
                <w:b w:val="0"/>
                <w:sz w:val="16"/>
              </w:rPr>
              <w:t>29.8</w:t>
            </w:r>
          </w:p>
        </w:tc>
        <w:tc>
          <w:tcPr>
            <w:tcW w:type="dxa" w:w="1200"/>
            <w:vAlign w:val="center"/>
          </w:tcPr>
          <w:p>
            <w:pPr>
              <w:jc w:val="center"/>
            </w:pPr>
            <w:r>
              <w:rPr>
                <w:b w:val="0"/>
                <w:sz w:val="16"/>
              </w:rPr>
              <w:t>0.91</w:t>
            </w:r>
          </w:p>
        </w:tc>
        <w:tc>
          <w:tcPr>
            <w:tcW w:type="dxa" w:w="1200"/>
            <w:vAlign w:val="center"/>
          </w:tcPr>
          <w:p>
            <w:pPr>
              <w:jc w:val="center"/>
            </w:pPr>
            <w:r>
              <w:rPr>
                <w:b w:val="0"/>
                <w:sz w:val="16"/>
              </w:rPr>
              <w:t>Highest heat transfer, higher shell dP</w:t>
            </w:r>
          </w:p>
        </w:tc>
      </w:tr>
    </w:tbl>
    <w:p>
      <w:pPr>
        <w:spacing w:after="120"/>
        <w:jc w:val="center"/>
      </w:pPr>
      <w:r>
        <w:rPr>
          <w:i/>
          <w:sz w:val="16"/>
        </w:rPr>
        <w:t>Table 2. Detailed final results with heat-transfer and energy-balance checks.</w:t>
      </w:r>
    </w:p>
    <w:p>
      <w:pPr>
        <w:pStyle w:val="Heading2"/>
      </w:pPr>
      <w:r>
        <w:t>Engineering Interpretation</w:t>
      </w:r>
    </w:p>
    <w:p>
      <w:pPr>
        <w:spacing w:after="80"/>
        <w:jc w:val="left"/>
      </w:pPr>
      <w:r>
        <w:t>Case 1 provided the validated baseline. The hot outlet temperature was 86.71 degC and the cold outlet temperature was 24.80 degC. The hot-side and cold-side heat-transfer estimates matched within 0.5 percent, which indicates a reliable thermal setup.</w:t>
      </w:r>
    </w:p>
    <w:p>
      <w:pPr>
        <w:spacing w:after="80"/>
        <w:jc w:val="left"/>
      </w:pPr>
      <w:r>
        <w:t>Case 2, the parallel-flow comparison, reduced heat transfer by about 3.3 percent compared with Case 1. The change was small because the shell side is not a pure one-dimensional flow path. The baffles generate cross-flow and mixing, so ideal textbook counterflow and parallel-flow trends are muted.</w:t>
      </w:r>
    </w:p>
    <w:p>
      <w:pPr>
        <w:spacing w:after="80"/>
        <w:jc w:val="left"/>
      </w:pPr>
      <w:r>
        <w:t>Case 3, the inline tube-side inlet optimization, provided the best balanced improvement. It increased heat transfer relative to baseline and reduced tube-side pressure drop from 10.69 Pa to 9.82 Pa. This makes it the best low-pressure-drop design.</w:t>
      </w:r>
    </w:p>
    <w:p>
      <w:pPr>
        <w:spacing w:after="80"/>
        <w:jc w:val="left"/>
      </w:pPr>
      <w:r>
        <w:t>Case 4 increased shell-side velocity and achieved the highest heat transfer, approximately 30.0 kW. The tradeoff was a shell-side pressure-drop increase from about 21 Pa to 84 Pa. This case is recommended only when the additional pumping penalty is acceptable.</w:t>
      </w:r>
    </w:p>
    <w:p>
      <w:r>
        <w:br w:type="page"/>
      </w:r>
    </w:p>
    <w:p>
      <w:pPr>
        <w:pStyle w:val="Heading1"/>
      </w:pPr>
      <w:r>
        <w:t>Case 1 - Baseline Counterflow HX</w:t>
      </w:r>
    </w:p>
    <w:p>
      <w:pPr>
        <w:spacing w:after="80"/>
        <w:jc w:val="left"/>
      </w:pPr>
      <w:r>
        <w:t>Validated baseline with local mesh, counterflow arrangement, copper tubes, stainless steel shell, and bulk-average temperature goals.</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r>
      <w:tr>
        <w:tc>
          <w:tcPr>
            <w:tcW w:type="dxa" w:w="3600"/>
            <w:vAlign w:val="center"/>
          </w:tcPr>
          <w:p>
            <w:pPr>
              <w:jc w:val="center"/>
            </w:pPr>
            <w:r>
              <w:rPr>
                <w:b w:val="0"/>
                <w:sz w:val="16"/>
              </w:rPr>
              <w:t>Hot outlet bulk temp</w:t>
            </w:r>
          </w:p>
        </w:tc>
        <w:tc>
          <w:tcPr>
            <w:tcW w:type="dxa" w:w="3600"/>
            <w:vAlign w:val="center"/>
          </w:tcPr>
          <w:p>
            <w:pPr>
              <w:jc w:val="center"/>
            </w:pPr>
            <w:r>
              <w:rPr>
                <w:b w:val="0"/>
                <w:sz w:val="16"/>
              </w:rPr>
              <w:t>86.71 degC</w:t>
            </w:r>
          </w:p>
        </w:tc>
        <w:tc>
          <w:tcPr>
            <w:tcW w:type="dxa" w:w="3600"/>
            <w:vAlign w:val="center"/>
          </w:tcPr>
          <w:p>
            <w:pPr>
              <w:jc w:val="center"/>
            </w:pPr>
            <w:r>
              <w:rPr>
                <w:b w:val="0"/>
                <w:sz w:val="16"/>
              </w:rPr>
              <w:t>Cold outlet bulk temp</w:t>
            </w:r>
          </w:p>
        </w:tc>
        <w:tc>
          <w:tcPr>
            <w:tcW w:type="dxa" w:w="3600"/>
            <w:vAlign w:val="center"/>
          </w:tcPr>
          <w:p>
            <w:pPr>
              <w:jc w:val="center"/>
            </w:pPr>
            <w:r>
              <w:rPr>
                <w:b w:val="0"/>
                <w:sz w:val="16"/>
              </w:rPr>
              <w:t>24.80 degC</w:t>
            </w:r>
          </w:p>
        </w:tc>
      </w:tr>
      <w:tr>
        <w:tc>
          <w:tcPr>
            <w:tcW w:type="dxa" w:w="3600"/>
            <w:vAlign w:val="center"/>
          </w:tcPr>
          <w:p>
            <w:pPr>
              <w:jc w:val="center"/>
            </w:pPr>
            <w:r>
              <w:rPr>
                <w:b w:val="0"/>
                <w:sz w:val="16"/>
              </w:rPr>
              <w:t>Heat transfer, average</w:t>
            </w:r>
          </w:p>
        </w:tc>
        <w:tc>
          <w:tcPr>
            <w:tcW w:type="dxa" w:w="3600"/>
            <w:vAlign w:val="center"/>
          </w:tcPr>
          <w:p>
            <w:pPr>
              <w:jc w:val="center"/>
            </w:pPr>
            <w:r>
              <w:rPr>
                <w:b w:val="0"/>
                <w:sz w:val="16"/>
              </w:rPr>
              <w:t>26.3 kW</w:t>
            </w:r>
          </w:p>
        </w:tc>
        <w:tc>
          <w:tcPr>
            <w:tcW w:type="dxa" w:w="3600"/>
            <w:vAlign w:val="center"/>
          </w:tcPr>
          <w:p>
            <w:pPr>
              <w:jc w:val="center"/>
            </w:pPr>
            <w:r>
              <w:rPr>
                <w:b w:val="0"/>
                <w:sz w:val="16"/>
              </w:rPr>
              <w:t>Energy balance error</w:t>
            </w:r>
          </w:p>
        </w:tc>
        <w:tc>
          <w:tcPr>
            <w:tcW w:type="dxa" w:w="3600"/>
            <w:vAlign w:val="center"/>
          </w:tcPr>
          <w:p>
            <w:pPr>
              <w:jc w:val="center"/>
            </w:pPr>
            <w:r>
              <w:rPr>
                <w:b w:val="0"/>
                <w:sz w:val="16"/>
              </w:rPr>
              <w:t>0.46 %</w:t>
            </w:r>
          </w:p>
        </w:tc>
      </w:tr>
      <w:tr>
        <w:tc>
          <w:tcPr>
            <w:tcW w:type="dxa" w:w="3600"/>
            <w:vAlign w:val="center"/>
          </w:tcPr>
          <w:p>
            <w:pPr>
              <w:jc w:val="center"/>
            </w:pPr>
            <w:r>
              <w:rPr>
                <w:b w:val="0"/>
                <w:sz w:val="16"/>
              </w:rPr>
              <w:t>Tube-side pressure drop</w:t>
            </w:r>
          </w:p>
        </w:tc>
        <w:tc>
          <w:tcPr>
            <w:tcW w:type="dxa" w:w="3600"/>
            <w:vAlign w:val="center"/>
          </w:tcPr>
          <w:p>
            <w:pPr>
              <w:jc w:val="center"/>
            </w:pPr>
            <w:r>
              <w:rPr>
                <w:b w:val="0"/>
                <w:sz w:val="16"/>
              </w:rPr>
              <w:t>10.69 Pa</w:t>
            </w:r>
          </w:p>
        </w:tc>
        <w:tc>
          <w:tcPr>
            <w:tcW w:type="dxa" w:w="3600"/>
            <w:vAlign w:val="center"/>
          </w:tcPr>
          <w:p>
            <w:pPr>
              <w:jc w:val="center"/>
            </w:pPr>
            <w:r>
              <w:rPr>
                <w:b w:val="0"/>
                <w:sz w:val="16"/>
              </w:rPr>
              <w:t>Shell-side pressure drop</w:t>
            </w:r>
          </w:p>
        </w:tc>
        <w:tc>
          <w:tcPr>
            <w:tcW w:type="dxa" w:w="3600"/>
            <w:vAlign w:val="center"/>
          </w:tcPr>
          <w:p>
            <w:pPr>
              <w:jc w:val="center"/>
            </w:pPr>
            <w:r>
              <w:rPr>
                <w:b w:val="0"/>
                <w:sz w:val="16"/>
              </w:rPr>
              <w:t>21.06 Pa</w:t>
            </w:r>
          </w:p>
        </w:tc>
      </w:tr>
    </w:tbl>
    <w:p>
      <w:pPr>
        <w:spacing w:after="80"/>
        <w:jc w:val="left"/>
      </w:pPr>
      <w:r>
        <w:t>Result: This case is used as the baseline for all comparisons. The energy balance is excellent, and the temperature field shows expected hot-side cooling and cold-side heating.</w:t>
      </w:r>
    </w:p>
    <w:p>
      <w:pPr>
        <w:pStyle w:val="Heading2"/>
      </w:pPr>
      <w:r>
        <w:t>Result Images</w:t>
      </w:r>
    </w:p>
    <w:p>
      <w:pPr>
        <w:jc w:val="center"/>
      </w:pPr>
      <w:r>
        <w:drawing>
          <wp:inline xmlns:a="http://schemas.openxmlformats.org/drawingml/2006/main" xmlns:pic="http://schemas.openxmlformats.org/drawingml/2006/picture">
            <wp:extent cx="8046720" cy="4567540"/>
            <wp:docPr id="1" name="Picture 1"/>
            <wp:cNvGraphicFramePr>
              <a:graphicFrameLocks noChangeAspect="1"/>
            </wp:cNvGraphicFramePr>
            <a:graphic>
              <a:graphicData uri="http://schemas.openxmlformats.org/drawingml/2006/picture">
                <pic:pic>
                  <pic:nvPicPr>
                    <pic:cNvPr id="0" name="case01_global_mesh_Temperature_cut.png"/>
                    <pic:cNvPicPr/>
                  </pic:nvPicPr>
                  <pic:blipFill>
                    <a:blip r:embed="rId10"/>
                    <a:stretch>
                      <a:fillRect/>
                    </a:stretch>
                  </pic:blipFill>
                  <pic:spPr>
                    <a:xfrm>
                      <a:off x="0" y="0"/>
                      <a:ext cx="8046720" cy="4567540"/>
                    </a:xfrm>
                    <a:prstGeom prst="rect"/>
                  </pic:spPr>
                </pic:pic>
              </a:graphicData>
            </a:graphic>
          </wp:inline>
        </w:drawing>
      </w:r>
    </w:p>
    <w:p>
      <w:pPr>
        <w:spacing w:after="120"/>
        <w:jc w:val="center"/>
      </w:pPr>
      <w:r>
        <w:rPr>
          <w:i/>
          <w:sz w:val="16"/>
        </w:rPr>
        <w:t>Figure 1.1. Temperature cut plot for Baseline Counterflow HX.</w:t>
      </w:r>
    </w:p>
    <w:p>
      <w:pPr>
        <w:jc w:val="center"/>
      </w:pPr>
      <w:r>
        <w:drawing>
          <wp:inline xmlns:a="http://schemas.openxmlformats.org/drawingml/2006/main" xmlns:pic="http://schemas.openxmlformats.org/drawingml/2006/picture">
            <wp:extent cx="8046720" cy="4692393"/>
            <wp:docPr id="2" name="Picture 2"/>
            <wp:cNvGraphicFramePr>
              <a:graphicFrameLocks noChangeAspect="1"/>
            </wp:cNvGraphicFramePr>
            <a:graphic>
              <a:graphicData uri="http://schemas.openxmlformats.org/drawingml/2006/picture">
                <pic:pic>
                  <pic:nvPicPr>
                    <pic:cNvPr id="0" name="case01_local_mesh_velocity_cut.png"/>
                    <pic:cNvPicPr/>
                  </pic:nvPicPr>
                  <pic:blipFill>
                    <a:blip r:embed="rId11"/>
                    <a:stretch>
                      <a:fillRect/>
                    </a:stretch>
                  </pic:blipFill>
                  <pic:spPr>
                    <a:xfrm>
                      <a:off x="0" y="0"/>
                      <a:ext cx="8046720" cy="4692393"/>
                    </a:xfrm>
                    <a:prstGeom prst="rect"/>
                  </pic:spPr>
                </pic:pic>
              </a:graphicData>
            </a:graphic>
          </wp:inline>
        </w:drawing>
      </w:r>
    </w:p>
    <w:p>
      <w:pPr>
        <w:spacing w:after="120"/>
        <w:jc w:val="center"/>
      </w:pPr>
      <w:r>
        <w:rPr>
          <w:i/>
          <w:sz w:val="16"/>
        </w:rPr>
        <w:t>Figure 1.2. Velocity cut plot for Baseline Counterflow HX.</w:t>
      </w:r>
    </w:p>
    <w:p>
      <w:pPr>
        <w:jc w:val="center"/>
      </w:pPr>
      <w:r>
        <w:drawing>
          <wp:inline xmlns:a="http://schemas.openxmlformats.org/drawingml/2006/main" xmlns:pic="http://schemas.openxmlformats.org/drawingml/2006/picture">
            <wp:extent cx="8046720" cy="4336759"/>
            <wp:docPr id="3" name="Picture 3"/>
            <wp:cNvGraphicFramePr>
              <a:graphicFrameLocks noChangeAspect="1"/>
            </wp:cNvGraphicFramePr>
            <a:graphic>
              <a:graphicData uri="http://schemas.openxmlformats.org/drawingml/2006/picture">
                <pic:pic>
                  <pic:nvPicPr>
                    <pic:cNvPr id="0" name="case01_local_mesh_velocity_cut_tubeside.png"/>
                    <pic:cNvPicPr/>
                  </pic:nvPicPr>
                  <pic:blipFill>
                    <a:blip r:embed="rId12"/>
                    <a:stretch>
                      <a:fillRect/>
                    </a:stretch>
                  </pic:blipFill>
                  <pic:spPr>
                    <a:xfrm>
                      <a:off x="0" y="0"/>
                      <a:ext cx="8046720" cy="4336759"/>
                    </a:xfrm>
                    <a:prstGeom prst="rect"/>
                  </pic:spPr>
                </pic:pic>
              </a:graphicData>
            </a:graphic>
          </wp:inline>
        </w:drawing>
      </w:r>
    </w:p>
    <w:p>
      <w:pPr>
        <w:spacing w:after="120"/>
        <w:jc w:val="center"/>
      </w:pPr>
      <w:r>
        <w:rPr>
          <w:i/>
          <w:sz w:val="16"/>
        </w:rPr>
        <w:t>Figure 1.3. Tube-side distribution velocity for Baseline Counterflow HX.</w:t>
      </w:r>
    </w:p>
    <w:p>
      <w:pPr>
        <w:jc w:val="center"/>
      </w:pPr>
      <w:r>
        <w:drawing>
          <wp:inline xmlns:a="http://schemas.openxmlformats.org/drawingml/2006/main" xmlns:pic="http://schemas.openxmlformats.org/drawingml/2006/picture">
            <wp:extent cx="7680960" cy="4626649"/>
            <wp:docPr id="4" name="Picture 4"/>
            <wp:cNvGraphicFramePr>
              <a:graphicFrameLocks noChangeAspect="1"/>
            </wp:cNvGraphicFramePr>
            <a:graphic>
              <a:graphicData uri="http://schemas.openxmlformats.org/drawingml/2006/picture">
                <pic:pic>
                  <pic:nvPicPr>
                    <pic:cNvPr id="0" name="case01_flow_trajectories.png"/>
                    <pic:cNvPicPr/>
                  </pic:nvPicPr>
                  <pic:blipFill>
                    <a:blip r:embed="rId13"/>
                    <a:stretch>
                      <a:fillRect/>
                    </a:stretch>
                  </pic:blipFill>
                  <pic:spPr>
                    <a:xfrm>
                      <a:off x="0" y="0"/>
                      <a:ext cx="7680960" cy="4626649"/>
                    </a:xfrm>
                    <a:prstGeom prst="rect"/>
                  </pic:spPr>
                </pic:pic>
              </a:graphicData>
            </a:graphic>
          </wp:inline>
        </w:drawing>
      </w:r>
    </w:p>
    <w:p>
      <w:pPr>
        <w:spacing w:after="120"/>
        <w:jc w:val="center"/>
      </w:pPr>
      <w:r>
        <w:rPr>
          <w:i/>
          <w:sz w:val="16"/>
        </w:rPr>
        <w:t>Figure 1.4. Flow trajectories for Baseline Counterflow HX.</w:t>
      </w:r>
    </w:p>
    <w:p>
      <w:r>
        <w:br w:type="page"/>
      </w:r>
    </w:p>
    <w:p>
      <w:pPr>
        <w:pStyle w:val="Heading1"/>
      </w:pPr>
      <w:r>
        <w:t>Case 2 - Parallel Flow Comparison</w:t>
      </w:r>
    </w:p>
    <w:p>
      <w:pPr>
        <w:spacing w:after="80"/>
        <w:jc w:val="left"/>
      </w:pPr>
      <w:r>
        <w:t>Shell-side flow direction reversed to compare the baseline counterflow arrangement against a parallel-flow arrangement.</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r>
      <w:tr>
        <w:tc>
          <w:tcPr>
            <w:tcW w:type="dxa" w:w="3600"/>
            <w:vAlign w:val="center"/>
          </w:tcPr>
          <w:p>
            <w:pPr>
              <w:jc w:val="center"/>
            </w:pPr>
            <w:r>
              <w:rPr>
                <w:b w:val="0"/>
                <w:sz w:val="16"/>
              </w:rPr>
              <w:t>Hot outlet bulk temp</w:t>
            </w:r>
          </w:p>
        </w:tc>
        <w:tc>
          <w:tcPr>
            <w:tcW w:type="dxa" w:w="3600"/>
            <w:vAlign w:val="center"/>
          </w:tcPr>
          <w:p>
            <w:pPr>
              <w:jc w:val="center"/>
            </w:pPr>
            <w:r>
              <w:rPr>
                <w:b w:val="0"/>
                <w:sz w:val="16"/>
              </w:rPr>
              <w:t>87.15 degC</w:t>
            </w:r>
          </w:p>
        </w:tc>
        <w:tc>
          <w:tcPr>
            <w:tcW w:type="dxa" w:w="3600"/>
            <w:vAlign w:val="center"/>
          </w:tcPr>
          <w:p>
            <w:pPr>
              <w:jc w:val="center"/>
            </w:pPr>
            <w:r>
              <w:rPr>
                <w:b w:val="0"/>
                <w:sz w:val="16"/>
              </w:rPr>
              <w:t>Cold outlet bulk temp</w:t>
            </w:r>
          </w:p>
        </w:tc>
        <w:tc>
          <w:tcPr>
            <w:tcW w:type="dxa" w:w="3600"/>
            <w:vAlign w:val="center"/>
          </w:tcPr>
          <w:p>
            <w:pPr>
              <w:jc w:val="center"/>
            </w:pPr>
            <w:r>
              <w:rPr>
                <w:b w:val="0"/>
                <w:sz w:val="16"/>
              </w:rPr>
              <w:t>24.57 degC</w:t>
            </w:r>
          </w:p>
        </w:tc>
      </w:tr>
      <w:tr>
        <w:tc>
          <w:tcPr>
            <w:tcW w:type="dxa" w:w="3600"/>
            <w:vAlign w:val="center"/>
          </w:tcPr>
          <w:p>
            <w:pPr>
              <w:jc w:val="center"/>
            </w:pPr>
            <w:r>
              <w:rPr>
                <w:b w:val="0"/>
                <w:sz w:val="16"/>
              </w:rPr>
              <w:t>Heat transfer, average</w:t>
            </w:r>
          </w:p>
        </w:tc>
        <w:tc>
          <w:tcPr>
            <w:tcW w:type="dxa" w:w="3600"/>
            <w:vAlign w:val="center"/>
          </w:tcPr>
          <w:p>
            <w:pPr>
              <w:jc w:val="center"/>
            </w:pPr>
            <w:r>
              <w:rPr>
                <w:b w:val="0"/>
                <w:sz w:val="16"/>
              </w:rPr>
              <w:t>25.2 kW</w:t>
            </w:r>
          </w:p>
        </w:tc>
        <w:tc>
          <w:tcPr>
            <w:tcW w:type="dxa" w:w="3600"/>
            <w:vAlign w:val="center"/>
          </w:tcPr>
          <w:p>
            <w:pPr>
              <w:jc w:val="center"/>
            </w:pPr>
            <w:r>
              <w:rPr>
                <w:b w:val="0"/>
                <w:sz w:val="16"/>
              </w:rPr>
              <w:t>Energy balance error</w:t>
            </w:r>
          </w:p>
        </w:tc>
        <w:tc>
          <w:tcPr>
            <w:tcW w:type="dxa" w:w="3600"/>
            <w:vAlign w:val="center"/>
          </w:tcPr>
          <w:p>
            <w:pPr>
              <w:jc w:val="center"/>
            </w:pPr>
            <w:r>
              <w:rPr>
                <w:b w:val="0"/>
                <w:sz w:val="16"/>
              </w:rPr>
              <w:t>1.03 %</w:t>
            </w:r>
          </w:p>
        </w:tc>
      </w:tr>
      <w:tr>
        <w:tc>
          <w:tcPr>
            <w:tcW w:type="dxa" w:w="3600"/>
            <w:vAlign w:val="center"/>
          </w:tcPr>
          <w:p>
            <w:pPr>
              <w:jc w:val="center"/>
            </w:pPr>
            <w:r>
              <w:rPr>
                <w:b w:val="0"/>
                <w:sz w:val="16"/>
              </w:rPr>
              <w:t>Tube-side pressure drop</w:t>
            </w:r>
          </w:p>
        </w:tc>
        <w:tc>
          <w:tcPr>
            <w:tcW w:type="dxa" w:w="3600"/>
            <w:vAlign w:val="center"/>
          </w:tcPr>
          <w:p>
            <w:pPr>
              <w:jc w:val="center"/>
            </w:pPr>
            <w:r>
              <w:rPr>
                <w:b w:val="0"/>
                <w:sz w:val="16"/>
              </w:rPr>
              <w:t>10.70 Pa</w:t>
            </w:r>
          </w:p>
        </w:tc>
        <w:tc>
          <w:tcPr>
            <w:tcW w:type="dxa" w:w="3600"/>
            <w:vAlign w:val="center"/>
          </w:tcPr>
          <w:p>
            <w:pPr>
              <w:jc w:val="center"/>
            </w:pPr>
            <w:r>
              <w:rPr>
                <w:b w:val="0"/>
                <w:sz w:val="16"/>
              </w:rPr>
              <w:t>Shell-side pressure drop</w:t>
            </w:r>
          </w:p>
        </w:tc>
        <w:tc>
          <w:tcPr>
            <w:tcW w:type="dxa" w:w="3600"/>
            <w:vAlign w:val="center"/>
          </w:tcPr>
          <w:p>
            <w:pPr>
              <w:jc w:val="center"/>
            </w:pPr>
            <w:r>
              <w:rPr>
                <w:b w:val="0"/>
                <w:sz w:val="16"/>
              </w:rPr>
              <w:t>20.52 Pa</w:t>
            </w:r>
          </w:p>
        </w:tc>
      </w:tr>
    </w:tbl>
    <w:p>
      <w:pPr>
        <w:spacing w:after="80"/>
        <w:jc w:val="left"/>
      </w:pPr>
      <w:r>
        <w:t>Result: Parallel flow performed slightly worse than the baseline. The small difference indicates that the baffled shell-side flow field dominates the heat-transfer pattern.</w:t>
      </w:r>
    </w:p>
    <w:p>
      <w:pPr>
        <w:pStyle w:val="Heading2"/>
      </w:pPr>
      <w:r>
        <w:t>Result Images</w:t>
      </w:r>
    </w:p>
    <w:p>
      <w:pPr>
        <w:jc w:val="center"/>
      </w:pPr>
      <w:r>
        <w:drawing>
          <wp:inline xmlns:a="http://schemas.openxmlformats.org/drawingml/2006/main" xmlns:pic="http://schemas.openxmlformats.org/drawingml/2006/picture">
            <wp:extent cx="8046720" cy="4567540"/>
            <wp:docPr id="5" name="Picture 5"/>
            <wp:cNvGraphicFramePr>
              <a:graphicFrameLocks noChangeAspect="1"/>
            </wp:cNvGraphicFramePr>
            <a:graphic>
              <a:graphicData uri="http://schemas.openxmlformats.org/drawingml/2006/picture">
                <pic:pic>
                  <pic:nvPicPr>
                    <pic:cNvPr id="0" name="case02_temperature_cut.png"/>
                    <pic:cNvPicPr/>
                  </pic:nvPicPr>
                  <pic:blipFill>
                    <a:blip r:embed="rId14"/>
                    <a:stretch>
                      <a:fillRect/>
                    </a:stretch>
                  </pic:blipFill>
                  <pic:spPr>
                    <a:xfrm>
                      <a:off x="0" y="0"/>
                      <a:ext cx="8046720" cy="4567540"/>
                    </a:xfrm>
                    <a:prstGeom prst="rect"/>
                  </pic:spPr>
                </pic:pic>
              </a:graphicData>
            </a:graphic>
          </wp:inline>
        </w:drawing>
      </w:r>
    </w:p>
    <w:p>
      <w:pPr>
        <w:spacing w:after="120"/>
        <w:jc w:val="center"/>
      </w:pPr>
      <w:r>
        <w:rPr>
          <w:i/>
          <w:sz w:val="16"/>
        </w:rPr>
        <w:t>Figure 2.1. Temperature cut plot for Parallel Flow Comparison.</w:t>
      </w:r>
    </w:p>
    <w:p>
      <w:pPr>
        <w:jc w:val="center"/>
      </w:pPr>
      <w:r>
        <w:drawing>
          <wp:inline xmlns:a="http://schemas.openxmlformats.org/drawingml/2006/main" xmlns:pic="http://schemas.openxmlformats.org/drawingml/2006/picture">
            <wp:extent cx="8046720" cy="4692393"/>
            <wp:docPr id="6" name="Picture 6"/>
            <wp:cNvGraphicFramePr>
              <a:graphicFrameLocks noChangeAspect="1"/>
            </wp:cNvGraphicFramePr>
            <a:graphic>
              <a:graphicData uri="http://schemas.openxmlformats.org/drawingml/2006/picture">
                <pic:pic>
                  <pic:nvPicPr>
                    <pic:cNvPr id="0" name="case2_global_mesh_velocity_cut.png"/>
                    <pic:cNvPicPr/>
                  </pic:nvPicPr>
                  <pic:blipFill>
                    <a:blip r:embed="rId15"/>
                    <a:stretch>
                      <a:fillRect/>
                    </a:stretch>
                  </pic:blipFill>
                  <pic:spPr>
                    <a:xfrm>
                      <a:off x="0" y="0"/>
                      <a:ext cx="8046720" cy="4692393"/>
                    </a:xfrm>
                    <a:prstGeom prst="rect"/>
                  </pic:spPr>
                </pic:pic>
              </a:graphicData>
            </a:graphic>
          </wp:inline>
        </w:drawing>
      </w:r>
    </w:p>
    <w:p>
      <w:pPr>
        <w:spacing w:after="120"/>
        <w:jc w:val="center"/>
      </w:pPr>
      <w:r>
        <w:rPr>
          <w:i/>
          <w:sz w:val="16"/>
        </w:rPr>
        <w:t>Figure 2.2. Velocity cut plot for Parallel Flow Comparison.</w:t>
      </w:r>
    </w:p>
    <w:p>
      <w:pPr>
        <w:jc w:val="center"/>
      </w:pPr>
      <w:r>
        <w:drawing>
          <wp:inline xmlns:a="http://schemas.openxmlformats.org/drawingml/2006/main" xmlns:pic="http://schemas.openxmlformats.org/drawingml/2006/picture">
            <wp:extent cx="8046720" cy="4336759"/>
            <wp:docPr id="7" name="Picture 7"/>
            <wp:cNvGraphicFramePr>
              <a:graphicFrameLocks noChangeAspect="1"/>
            </wp:cNvGraphicFramePr>
            <a:graphic>
              <a:graphicData uri="http://schemas.openxmlformats.org/drawingml/2006/picture">
                <pic:pic>
                  <pic:nvPicPr>
                    <pic:cNvPr id="0" name="case2_local_mesh_velocity_cut_tubeside.png"/>
                    <pic:cNvPicPr/>
                  </pic:nvPicPr>
                  <pic:blipFill>
                    <a:blip r:embed="rId16"/>
                    <a:stretch>
                      <a:fillRect/>
                    </a:stretch>
                  </pic:blipFill>
                  <pic:spPr>
                    <a:xfrm>
                      <a:off x="0" y="0"/>
                      <a:ext cx="8046720" cy="4336759"/>
                    </a:xfrm>
                    <a:prstGeom prst="rect"/>
                  </pic:spPr>
                </pic:pic>
              </a:graphicData>
            </a:graphic>
          </wp:inline>
        </w:drawing>
      </w:r>
    </w:p>
    <w:p>
      <w:pPr>
        <w:spacing w:after="120"/>
        <w:jc w:val="center"/>
      </w:pPr>
      <w:r>
        <w:rPr>
          <w:i/>
          <w:sz w:val="16"/>
        </w:rPr>
        <w:t>Figure 2.3. Tube-side distribution velocity for Parallel Flow Comparison.</w:t>
      </w:r>
    </w:p>
    <w:p>
      <w:pPr>
        <w:jc w:val="center"/>
      </w:pPr>
      <w:r>
        <w:drawing>
          <wp:inline xmlns:a="http://schemas.openxmlformats.org/drawingml/2006/main" xmlns:pic="http://schemas.openxmlformats.org/drawingml/2006/picture">
            <wp:extent cx="7680960" cy="4626649"/>
            <wp:docPr id="8" name="Picture 8"/>
            <wp:cNvGraphicFramePr>
              <a:graphicFrameLocks noChangeAspect="1"/>
            </wp:cNvGraphicFramePr>
            <a:graphic>
              <a:graphicData uri="http://schemas.openxmlformats.org/drawingml/2006/picture">
                <pic:pic>
                  <pic:nvPicPr>
                    <pic:cNvPr id="0" name="case2_global_mesh_flow_trajectories.png"/>
                    <pic:cNvPicPr/>
                  </pic:nvPicPr>
                  <pic:blipFill>
                    <a:blip r:embed="rId17"/>
                    <a:stretch>
                      <a:fillRect/>
                    </a:stretch>
                  </pic:blipFill>
                  <pic:spPr>
                    <a:xfrm>
                      <a:off x="0" y="0"/>
                      <a:ext cx="7680960" cy="4626649"/>
                    </a:xfrm>
                    <a:prstGeom prst="rect"/>
                  </pic:spPr>
                </pic:pic>
              </a:graphicData>
            </a:graphic>
          </wp:inline>
        </w:drawing>
      </w:r>
    </w:p>
    <w:p>
      <w:pPr>
        <w:spacing w:after="120"/>
        <w:jc w:val="center"/>
      </w:pPr>
      <w:r>
        <w:rPr>
          <w:i/>
          <w:sz w:val="16"/>
        </w:rPr>
        <w:t>Figure 2.4. Flow trajectories for Parallel Flow Comparison.</w:t>
      </w:r>
    </w:p>
    <w:p>
      <w:r>
        <w:br w:type="page"/>
      </w:r>
    </w:p>
    <w:p>
      <w:pPr>
        <w:pStyle w:val="Heading1"/>
      </w:pPr>
      <w:r>
        <w:t>Case 3 - Inline Tube-Side Inlet Optimization</w:t>
      </w:r>
    </w:p>
    <w:p>
      <w:pPr>
        <w:spacing w:after="80"/>
        <w:jc w:val="left"/>
      </w:pPr>
      <w:r>
        <w:t>Tube-side inlet was reoriented to a more inline configuration to reduce inlet losses and improve the tube-side flow path.</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r>
      <w:tr>
        <w:tc>
          <w:tcPr>
            <w:tcW w:type="dxa" w:w="3600"/>
            <w:vAlign w:val="center"/>
          </w:tcPr>
          <w:p>
            <w:pPr>
              <w:jc w:val="center"/>
            </w:pPr>
            <w:r>
              <w:rPr>
                <w:b w:val="0"/>
                <w:sz w:val="16"/>
              </w:rPr>
              <w:t>Hot outlet bulk temp</w:t>
            </w:r>
          </w:p>
        </w:tc>
        <w:tc>
          <w:tcPr>
            <w:tcW w:type="dxa" w:w="3600"/>
            <w:vAlign w:val="center"/>
          </w:tcPr>
          <w:p>
            <w:pPr>
              <w:jc w:val="center"/>
            </w:pPr>
            <w:r>
              <w:rPr>
                <w:b w:val="0"/>
                <w:sz w:val="16"/>
              </w:rPr>
              <w:t>86.22 degC</w:t>
            </w:r>
          </w:p>
        </w:tc>
        <w:tc>
          <w:tcPr>
            <w:tcW w:type="dxa" w:w="3600"/>
            <w:vAlign w:val="center"/>
          </w:tcPr>
          <w:p>
            <w:pPr>
              <w:jc w:val="center"/>
            </w:pPr>
            <w:r>
              <w:rPr>
                <w:b w:val="0"/>
                <w:sz w:val="16"/>
              </w:rPr>
              <w:t>Cold outlet bulk temp</w:t>
            </w:r>
          </w:p>
        </w:tc>
        <w:tc>
          <w:tcPr>
            <w:tcW w:type="dxa" w:w="3600"/>
            <w:vAlign w:val="center"/>
          </w:tcPr>
          <w:p>
            <w:pPr>
              <w:jc w:val="center"/>
            </w:pPr>
            <w:r>
              <w:rPr>
                <w:b w:val="0"/>
                <w:sz w:val="16"/>
              </w:rPr>
              <w:t>24.96 degC</w:t>
            </w:r>
          </w:p>
        </w:tc>
      </w:tr>
      <w:tr>
        <w:tc>
          <w:tcPr>
            <w:tcW w:type="dxa" w:w="3600"/>
            <w:vAlign w:val="center"/>
          </w:tcPr>
          <w:p>
            <w:pPr>
              <w:jc w:val="center"/>
            </w:pPr>
            <w:r>
              <w:rPr>
                <w:b w:val="0"/>
                <w:sz w:val="16"/>
              </w:rPr>
              <w:t>Heat transfer, average</w:t>
            </w:r>
          </w:p>
        </w:tc>
        <w:tc>
          <w:tcPr>
            <w:tcW w:type="dxa" w:w="3600"/>
            <w:vAlign w:val="center"/>
          </w:tcPr>
          <w:p>
            <w:pPr>
              <w:jc w:val="center"/>
            </w:pPr>
            <w:r>
              <w:rPr>
                <w:b w:val="0"/>
                <w:sz w:val="16"/>
              </w:rPr>
              <w:t>27.2 kW</w:t>
            </w:r>
          </w:p>
        </w:tc>
        <w:tc>
          <w:tcPr>
            <w:tcW w:type="dxa" w:w="3600"/>
            <w:vAlign w:val="center"/>
          </w:tcPr>
          <w:p>
            <w:pPr>
              <w:jc w:val="center"/>
            </w:pPr>
            <w:r>
              <w:rPr>
                <w:b w:val="0"/>
                <w:sz w:val="16"/>
              </w:rPr>
              <w:t>Energy balance error</w:t>
            </w:r>
          </w:p>
        </w:tc>
        <w:tc>
          <w:tcPr>
            <w:tcW w:type="dxa" w:w="3600"/>
            <w:vAlign w:val="center"/>
          </w:tcPr>
          <w:p>
            <w:pPr>
              <w:jc w:val="center"/>
            </w:pPr>
            <w:r>
              <w:rPr>
                <w:b w:val="0"/>
                <w:sz w:val="16"/>
              </w:rPr>
              <w:t>0.01 %</w:t>
            </w:r>
          </w:p>
        </w:tc>
      </w:tr>
      <w:tr>
        <w:tc>
          <w:tcPr>
            <w:tcW w:type="dxa" w:w="3600"/>
            <w:vAlign w:val="center"/>
          </w:tcPr>
          <w:p>
            <w:pPr>
              <w:jc w:val="center"/>
            </w:pPr>
            <w:r>
              <w:rPr>
                <w:b w:val="0"/>
                <w:sz w:val="16"/>
              </w:rPr>
              <w:t>Tube-side pressure drop</w:t>
            </w:r>
          </w:p>
        </w:tc>
        <w:tc>
          <w:tcPr>
            <w:tcW w:type="dxa" w:w="3600"/>
            <w:vAlign w:val="center"/>
          </w:tcPr>
          <w:p>
            <w:pPr>
              <w:jc w:val="center"/>
            </w:pPr>
            <w:r>
              <w:rPr>
                <w:b w:val="0"/>
                <w:sz w:val="16"/>
              </w:rPr>
              <w:t>9.82 Pa</w:t>
            </w:r>
          </w:p>
        </w:tc>
        <w:tc>
          <w:tcPr>
            <w:tcW w:type="dxa" w:w="3600"/>
            <w:vAlign w:val="center"/>
          </w:tcPr>
          <w:p>
            <w:pPr>
              <w:jc w:val="center"/>
            </w:pPr>
            <w:r>
              <w:rPr>
                <w:b w:val="0"/>
                <w:sz w:val="16"/>
              </w:rPr>
              <w:t>Shell-side pressure drop</w:t>
            </w:r>
          </w:p>
        </w:tc>
        <w:tc>
          <w:tcPr>
            <w:tcW w:type="dxa" w:w="3600"/>
            <w:vAlign w:val="center"/>
          </w:tcPr>
          <w:p>
            <w:pPr>
              <w:jc w:val="center"/>
            </w:pPr>
            <w:r>
              <w:rPr>
                <w:b w:val="0"/>
                <w:sz w:val="16"/>
              </w:rPr>
              <w:t>21.11 Pa</w:t>
            </w:r>
          </w:p>
        </w:tc>
      </w:tr>
    </w:tbl>
    <w:p>
      <w:pPr>
        <w:spacing w:after="80"/>
        <w:jc w:val="left"/>
      </w:pPr>
      <w:r>
        <w:t>Result: This is the preferred balanced design. It reduces tube-side pressure drop while improving heat transfer relative to the baseline.</w:t>
      </w:r>
    </w:p>
    <w:p>
      <w:pPr>
        <w:pStyle w:val="Heading2"/>
      </w:pPr>
      <w:r>
        <w:t>Result Images</w:t>
      </w:r>
    </w:p>
    <w:p>
      <w:pPr>
        <w:jc w:val="center"/>
      </w:pPr>
      <w:r>
        <w:drawing>
          <wp:inline xmlns:a="http://schemas.openxmlformats.org/drawingml/2006/main" xmlns:pic="http://schemas.openxmlformats.org/drawingml/2006/picture">
            <wp:extent cx="8046720" cy="4567540"/>
            <wp:docPr id="9" name="Picture 9"/>
            <wp:cNvGraphicFramePr>
              <a:graphicFrameLocks noChangeAspect="1"/>
            </wp:cNvGraphicFramePr>
            <a:graphic>
              <a:graphicData uri="http://schemas.openxmlformats.org/drawingml/2006/picture">
                <pic:pic>
                  <pic:nvPicPr>
                    <pic:cNvPr id="0" name="case03_inline_tube_inlet_temperature_cut.png"/>
                    <pic:cNvPicPr/>
                  </pic:nvPicPr>
                  <pic:blipFill>
                    <a:blip r:embed="rId18"/>
                    <a:stretch>
                      <a:fillRect/>
                    </a:stretch>
                  </pic:blipFill>
                  <pic:spPr>
                    <a:xfrm>
                      <a:off x="0" y="0"/>
                      <a:ext cx="8046720" cy="4567540"/>
                    </a:xfrm>
                    <a:prstGeom prst="rect"/>
                  </pic:spPr>
                </pic:pic>
              </a:graphicData>
            </a:graphic>
          </wp:inline>
        </w:drawing>
      </w:r>
    </w:p>
    <w:p>
      <w:pPr>
        <w:spacing w:after="120"/>
        <w:jc w:val="center"/>
      </w:pPr>
      <w:r>
        <w:rPr>
          <w:i/>
          <w:sz w:val="16"/>
        </w:rPr>
        <w:t>Figure 3.1. Temperature cut plot for Inline Tube-Side Inlet Optimization.</w:t>
      </w:r>
    </w:p>
    <w:p>
      <w:pPr>
        <w:jc w:val="center"/>
      </w:pPr>
      <w:r>
        <w:drawing>
          <wp:inline xmlns:a="http://schemas.openxmlformats.org/drawingml/2006/main" xmlns:pic="http://schemas.openxmlformats.org/drawingml/2006/picture">
            <wp:extent cx="8046720" cy="4692393"/>
            <wp:docPr id="10" name="Picture 10"/>
            <wp:cNvGraphicFramePr>
              <a:graphicFrameLocks noChangeAspect="1"/>
            </wp:cNvGraphicFramePr>
            <a:graphic>
              <a:graphicData uri="http://schemas.openxmlformats.org/drawingml/2006/picture">
                <pic:pic>
                  <pic:nvPicPr>
                    <pic:cNvPr id="0" name="case03_inline_tube_inlet_velocity_cut.png"/>
                    <pic:cNvPicPr/>
                  </pic:nvPicPr>
                  <pic:blipFill>
                    <a:blip r:embed="rId19"/>
                    <a:stretch>
                      <a:fillRect/>
                    </a:stretch>
                  </pic:blipFill>
                  <pic:spPr>
                    <a:xfrm>
                      <a:off x="0" y="0"/>
                      <a:ext cx="8046720" cy="4692393"/>
                    </a:xfrm>
                    <a:prstGeom prst="rect"/>
                  </pic:spPr>
                </pic:pic>
              </a:graphicData>
            </a:graphic>
          </wp:inline>
        </w:drawing>
      </w:r>
    </w:p>
    <w:p>
      <w:pPr>
        <w:spacing w:after="120"/>
        <w:jc w:val="center"/>
      </w:pPr>
      <w:r>
        <w:rPr>
          <w:i/>
          <w:sz w:val="16"/>
        </w:rPr>
        <w:t>Figure 3.2. Velocity cut plot for Inline Tube-Side Inlet Optimization.</w:t>
      </w:r>
    </w:p>
    <w:p>
      <w:pPr>
        <w:jc w:val="center"/>
      </w:pPr>
      <w:r>
        <w:drawing>
          <wp:inline xmlns:a="http://schemas.openxmlformats.org/drawingml/2006/main" xmlns:pic="http://schemas.openxmlformats.org/drawingml/2006/picture">
            <wp:extent cx="8046720" cy="4336759"/>
            <wp:docPr id="11" name="Picture 11"/>
            <wp:cNvGraphicFramePr>
              <a:graphicFrameLocks noChangeAspect="1"/>
            </wp:cNvGraphicFramePr>
            <a:graphic>
              <a:graphicData uri="http://schemas.openxmlformats.org/drawingml/2006/picture">
                <pic:pic>
                  <pic:nvPicPr>
                    <pic:cNvPr id="0" name="case03_inline_tube_inlet_tube_distribution_velocity.png"/>
                    <pic:cNvPicPr/>
                  </pic:nvPicPr>
                  <pic:blipFill>
                    <a:blip r:embed="rId20"/>
                    <a:stretch>
                      <a:fillRect/>
                    </a:stretch>
                  </pic:blipFill>
                  <pic:spPr>
                    <a:xfrm>
                      <a:off x="0" y="0"/>
                      <a:ext cx="8046720" cy="4336759"/>
                    </a:xfrm>
                    <a:prstGeom prst="rect"/>
                  </pic:spPr>
                </pic:pic>
              </a:graphicData>
            </a:graphic>
          </wp:inline>
        </w:drawing>
      </w:r>
    </w:p>
    <w:p>
      <w:pPr>
        <w:spacing w:after="120"/>
        <w:jc w:val="center"/>
      </w:pPr>
      <w:r>
        <w:rPr>
          <w:i/>
          <w:sz w:val="16"/>
        </w:rPr>
        <w:t>Figure 3.3. Tube-side distribution velocity for Inline Tube-Side Inlet Optimization.</w:t>
      </w:r>
    </w:p>
    <w:p>
      <w:pPr>
        <w:jc w:val="center"/>
      </w:pPr>
      <w:r>
        <w:drawing>
          <wp:inline xmlns:a="http://schemas.openxmlformats.org/drawingml/2006/main" xmlns:pic="http://schemas.openxmlformats.org/drawingml/2006/picture">
            <wp:extent cx="7680960" cy="4626649"/>
            <wp:docPr id="12" name="Picture 12"/>
            <wp:cNvGraphicFramePr>
              <a:graphicFrameLocks noChangeAspect="1"/>
            </wp:cNvGraphicFramePr>
            <a:graphic>
              <a:graphicData uri="http://schemas.openxmlformats.org/drawingml/2006/picture">
                <pic:pic>
                  <pic:nvPicPr>
                    <pic:cNvPr id="0" name="case03_flow_trajectories.png"/>
                    <pic:cNvPicPr/>
                  </pic:nvPicPr>
                  <pic:blipFill>
                    <a:blip r:embed="rId21"/>
                    <a:stretch>
                      <a:fillRect/>
                    </a:stretch>
                  </pic:blipFill>
                  <pic:spPr>
                    <a:xfrm>
                      <a:off x="0" y="0"/>
                      <a:ext cx="7680960" cy="4626649"/>
                    </a:xfrm>
                    <a:prstGeom prst="rect"/>
                  </pic:spPr>
                </pic:pic>
              </a:graphicData>
            </a:graphic>
          </wp:inline>
        </w:drawing>
      </w:r>
    </w:p>
    <w:p>
      <w:pPr>
        <w:spacing w:after="120"/>
        <w:jc w:val="center"/>
      </w:pPr>
      <w:r>
        <w:rPr>
          <w:i/>
          <w:sz w:val="16"/>
        </w:rPr>
        <w:t>Figure 3.4. Flow trajectories for Inline Tube-Side Inlet Optimization.</w:t>
      </w:r>
    </w:p>
    <w:p>
      <w:r>
        <w:br w:type="page"/>
      </w:r>
    </w:p>
    <w:p>
      <w:pPr>
        <w:pStyle w:val="Heading1"/>
      </w:pPr>
      <w:r>
        <w:t>Case 4 - Increased Shell-Side Velocity</w:t>
      </w:r>
    </w:p>
    <w:p>
      <w:pPr>
        <w:spacing w:after="80"/>
        <w:jc w:val="left"/>
      </w:pPr>
      <w:r>
        <w:t>Parameter sensitivity based on Case 3. Shell-side inlet velocity was increased from 0.1 m/s to 0.2 m/s to improve convective heat removal.</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c>
          <w:tcPr>
            <w:tcW w:type="dxa" w:w="3600"/>
            <w:vAlign w:val="center"/>
            <w:shd w:fill="1F4E79"/>
          </w:tcPr>
          <w:p>
            <w:pPr>
              <w:jc w:val="center"/>
            </w:pPr>
            <w:r>
              <w:rPr>
                <w:b/>
                <w:color w:val="FFFFFF"/>
                <w:sz w:val="16"/>
              </w:rPr>
              <w:t>Metric</w:t>
            </w:r>
          </w:p>
        </w:tc>
        <w:tc>
          <w:tcPr>
            <w:tcW w:type="dxa" w:w="3600"/>
            <w:vAlign w:val="center"/>
            <w:shd w:fill="1F4E79"/>
          </w:tcPr>
          <w:p>
            <w:pPr>
              <w:jc w:val="center"/>
            </w:pPr>
            <w:r>
              <w:rPr>
                <w:b/>
                <w:color w:val="FFFFFF"/>
                <w:sz w:val="16"/>
              </w:rPr>
              <w:t>Value</w:t>
            </w:r>
          </w:p>
        </w:tc>
      </w:tr>
      <w:tr>
        <w:tc>
          <w:tcPr>
            <w:tcW w:type="dxa" w:w="3600"/>
            <w:vAlign w:val="center"/>
          </w:tcPr>
          <w:p>
            <w:pPr>
              <w:jc w:val="center"/>
            </w:pPr>
            <w:r>
              <w:rPr>
                <w:b w:val="0"/>
                <w:sz w:val="16"/>
              </w:rPr>
              <w:t>Hot outlet bulk temp</w:t>
            </w:r>
          </w:p>
        </w:tc>
        <w:tc>
          <w:tcPr>
            <w:tcW w:type="dxa" w:w="3600"/>
            <w:vAlign w:val="center"/>
          </w:tcPr>
          <w:p>
            <w:pPr>
              <w:jc w:val="center"/>
            </w:pPr>
            <w:r>
              <w:rPr>
                <w:b w:val="0"/>
                <w:sz w:val="16"/>
              </w:rPr>
              <w:t>84.75 degC</w:t>
            </w:r>
          </w:p>
        </w:tc>
        <w:tc>
          <w:tcPr>
            <w:tcW w:type="dxa" w:w="3600"/>
            <w:vAlign w:val="center"/>
          </w:tcPr>
          <w:p>
            <w:pPr>
              <w:jc w:val="center"/>
            </w:pPr>
            <w:r>
              <w:rPr>
                <w:b w:val="0"/>
                <w:sz w:val="16"/>
              </w:rPr>
              <w:t>Cold outlet bulk temp</w:t>
            </w:r>
          </w:p>
        </w:tc>
        <w:tc>
          <w:tcPr>
            <w:tcW w:type="dxa" w:w="3600"/>
            <w:vAlign w:val="center"/>
          </w:tcPr>
          <w:p>
            <w:pPr>
              <w:jc w:val="center"/>
            </w:pPr>
            <w:r>
              <w:rPr>
                <w:b w:val="0"/>
                <w:sz w:val="16"/>
              </w:rPr>
              <w:t>22.72 degC</w:t>
            </w:r>
          </w:p>
        </w:tc>
      </w:tr>
      <w:tr>
        <w:tc>
          <w:tcPr>
            <w:tcW w:type="dxa" w:w="3600"/>
            <w:vAlign w:val="center"/>
          </w:tcPr>
          <w:p>
            <w:pPr>
              <w:jc w:val="center"/>
            </w:pPr>
            <w:r>
              <w:rPr>
                <w:b w:val="0"/>
                <w:sz w:val="16"/>
              </w:rPr>
              <w:t>Heat transfer, average</w:t>
            </w:r>
          </w:p>
        </w:tc>
        <w:tc>
          <w:tcPr>
            <w:tcW w:type="dxa" w:w="3600"/>
            <w:vAlign w:val="center"/>
          </w:tcPr>
          <w:p>
            <w:pPr>
              <w:jc w:val="center"/>
            </w:pPr>
            <w:r>
              <w:rPr>
                <w:b w:val="0"/>
                <w:sz w:val="16"/>
              </w:rPr>
              <w:t>30.0 kW</w:t>
            </w:r>
          </w:p>
        </w:tc>
        <w:tc>
          <w:tcPr>
            <w:tcW w:type="dxa" w:w="3600"/>
            <w:vAlign w:val="center"/>
          </w:tcPr>
          <w:p>
            <w:pPr>
              <w:jc w:val="center"/>
            </w:pPr>
            <w:r>
              <w:rPr>
                <w:b w:val="0"/>
                <w:sz w:val="16"/>
              </w:rPr>
              <w:t>Energy balance error</w:t>
            </w:r>
          </w:p>
        </w:tc>
        <w:tc>
          <w:tcPr>
            <w:tcW w:type="dxa" w:w="3600"/>
            <w:vAlign w:val="center"/>
          </w:tcPr>
          <w:p>
            <w:pPr>
              <w:jc w:val="center"/>
            </w:pPr>
            <w:r>
              <w:rPr>
                <w:b w:val="0"/>
                <w:sz w:val="16"/>
              </w:rPr>
              <w:t>0.91 %</w:t>
            </w:r>
          </w:p>
        </w:tc>
      </w:tr>
      <w:tr>
        <w:tc>
          <w:tcPr>
            <w:tcW w:type="dxa" w:w="3600"/>
            <w:vAlign w:val="center"/>
          </w:tcPr>
          <w:p>
            <w:pPr>
              <w:jc w:val="center"/>
            </w:pPr>
            <w:r>
              <w:rPr>
                <w:b w:val="0"/>
                <w:sz w:val="16"/>
              </w:rPr>
              <w:t>Tube-side pressure drop</w:t>
            </w:r>
          </w:p>
        </w:tc>
        <w:tc>
          <w:tcPr>
            <w:tcW w:type="dxa" w:w="3600"/>
            <w:vAlign w:val="center"/>
          </w:tcPr>
          <w:p>
            <w:pPr>
              <w:jc w:val="center"/>
            </w:pPr>
            <w:r>
              <w:rPr>
                <w:b w:val="0"/>
                <w:sz w:val="16"/>
              </w:rPr>
              <w:t>9.82 Pa</w:t>
            </w:r>
          </w:p>
        </w:tc>
        <w:tc>
          <w:tcPr>
            <w:tcW w:type="dxa" w:w="3600"/>
            <w:vAlign w:val="center"/>
          </w:tcPr>
          <w:p>
            <w:pPr>
              <w:jc w:val="center"/>
            </w:pPr>
            <w:r>
              <w:rPr>
                <w:b w:val="0"/>
                <w:sz w:val="16"/>
              </w:rPr>
              <w:t>Shell-side pressure drop</w:t>
            </w:r>
          </w:p>
        </w:tc>
        <w:tc>
          <w:tcPr>
            <w:tcW w:type="dxa" w:w="3600"/>
            <w:vAlign w:val="center"/>
          </w:tcPr>
          <w:p>
            <w:pPr>
              <w:jc w:val="center"/>
            </w:pPr>
            <w:r>
              <w:rPr>
                <w:b w:val="0"/>
                <w:sz w:val="16"/>
              </w:rPr>
              <w:t>83.58 Pa</w:t>
            </w:r>
          </w:p>
        </w:tc>
      </w:tr>
    </w:tbl>
    <w:p>
      <w:pPr>
        <w:spacing w:after="80"/>
        <w:jc w:val="left"/>
      </w:pPr>
      <w:r>
        <w:t>Result: This case gives the maximum heat transfer, but it requires a significantly higher shell-side pressure drop. It is the best option when thermal performance is prioritized over pumping loss.</w:t>
      </w:r>
    </w:p>
    <w:p>
      <w:pPr>
        <w:pStyle w:val="Heading2"/>
      </w:pPr>
      <w:r>
        <w:t>Result Images</w:t>
      </w:r>
    </w:p>
    <w:p>
      <w:pPr>
        <w:jc w:val="center"/>
      </w:pPr>
      <w:r>
        <w:drawing>
          <wp:inline xmlns:a="http://schemas.openxmlformats.org/drawingml/2006/main" xmlns:pic="http://schemas.openxmlformats.org/drawingml/2006/picture">
            <wp:extent cx="8046720" cy="4527385"/>
            <wp:docPr id="13" name="Picture 13"/>
            <wp:cNvGraphicFramePr>
              <a:graphicFrameLocks noChangeAspect="1"/>
            </wp:cNvGraphicFramePr>
            <a:graphic>
              <a:graphicData uri="http://schemas.openxmlformats.org/drawingml/2006/picture">
                <pic:pic>
                  <pic:nvPicPr>
                    <pic:cNvPr id="0" name="case03B_inline_tube_inlet_temperature_cut.png"/>
                    <pic:cNvPicPr/>
                  </pic:nvPicPr>
                  <pic:blipFill>
                    <a:blip r:embed="rId22"/>
                    <a:stretch>
                      <a:fillRect/>
                    </a:stretch>
                  </pic:blipFill>
                  <pic:spPr>
                    <a:xfrm>
                      <a:off x="0" y="0"/>
                      <a:ext cx="8046720" cy="4527385"/>
                    </a:xfrm>
                    <a:prstGeom prst="rect"/>
                  </pic:spPr>
                </pic:pic>
              </a:graphicData>
            </a:graphic>
          </wp:inline>
        </w:drawing>
      </w:r>
    </w:p>
    <w:p>
      <w:pPr>
        <w:spacing w:after="120"/>
        <w:jc w:val="center"/>
      </w:pPr>
      <w:r>
        <w:rPr>
          <w:i/>
          <w:sz w:val="16"/>
        </w:rPr>
        <w:t>Figure 4.1. Temperature cut plot for Increased Shell-Side Velocity.</w:t>
      </w:r>
    </w:p>
    <w:p>
      <w:pPr>
        <w:jc w:val="center"/>
      </w:pPr>
      <w:r>
        <w:drawing>
          <wp:inline xmlns:a="http://schemas.openxmlformats.org/drawingml/2006/main" xmlns:pic="http://schemas.openxmlformats.org/drawingml/2006/picture">
            <wp:extent cx="8046720" cy="4650023"/>
            <wp:docPr id="14" name="Picture 14"/>
            <wp:cNvGraphicFramePr>
              <a:graphicFrameLocks noChangeAspect="1"/>
            </wp:cNvGraphicFramePr>
            <a:graphic>
              <a:graphicData uri="http://schemas.openxmlformats.org/drawingml/2006/picture">
                <pic:pic>
                  <pic:nvPicPr>
                    <pic:cNvPr id="0" name="case03B_inline_tube_inlet_velocity_cut.png"/>
                    <pic:cNvPicPr/>
                  </pic:nvPicPr>
                  <pic:blipFill>
                    <a:blip r:embed="rId23"/>
                    <a:stretch>
                      <a:fillRect/>
                    </a:stretch>
                  </pic:blipFill>
                  <pic:spPr>
                    <a:xfrm>
                      <a:off x="0" y="0"/>
                      <a:ext cx="8046720" cy="4650023"/>
                    </a:xfrm>
                    <a:prstGeom prst="rect"/>
                  </pic:spPr>
                </pic:pic>
              </a:graphicData>
            </a:graphic>
          </wp:inline>
        </w:drawing>
      </w:r>
    </w:p>
    <w:p>
      <w:pPr>
        <w:spacing w:after="120"/>
        <w:jc w:val="center"/>
      </w:pPr>
      <w:r>
        <w:rPr>
          <w:i/>
          <w:sz w:val="16"/>
        </w:rPr>
        <w:t>Figure 4.2. Velocity cut plot for Increased Shell-Side Velocity.</w:t>
      </w:r>
    </w:p>
    <w:p>
      <w:pPr>
        <w:jc w:val="center"/>
      </w:pPr>
      <w:r>
        <w:drawing>
          <wp:inline xmlns:a="http://schemas.openxmlformats.org/drawingml/2006/main" xmlns:pic="http://schemas.openxmlformats.org/drawingml/2006/picture">
            <wp:extent cx="8046720" cy="4300543"/>
            <wp:docPr id="15" name="Picture 15"/>
            <wp:cNvGraphicFramePr>
              <a:graphicFrameLocks noChangeAspect="1"/>
            </wp:cNvGraphicFramePr>
            <a:graphic>
              <a:graphicData uri="http://schemas.openxmlformats.org/drawingml/2006/picture">
                <pic:pic>
                  <pic:nvPicPr>
                    <pic:cNvPr id="0" name="case03B_inline_tube_inlet_tube_distribution_velocity.png"/>
                    <pic:cNvPicPr/>
                  </pic:nvPicPr>
                  <pic:blipFill>
                    <a:blip r:embed="rId24"/>
                    <a:stretch>
                      <a:fillRect/>
                    </a:stretch>
                  </pic:blipFill>
                  <pic:spPr>
                    <a:xfrm>
                      <a:off x="0" y="0"/>
                      <a:ext cx="8046720" cy="4300543"/>
                    </a:xfrm>
                    <a:prstGeom prst="rect"/>
                  </pic:spPr>
                </pic:pic>
              </a:graphicData>
            </a:graphic>
          </wp:inline>
        </w:drawing>
      </w:r>
    </w:p>
    <w:p>
      <w:pPr>
        <w:spacing w:after="120"/>
        <w:jc w:val="center"/>
      </w:pPr>
      <w:r>
        <w:rPr>
          <w:i/>
          <w:sz w:val="16"/>
        </w:rPr>
        <w:t>Figure 4.3. Tube-side distribution velocity for Increased Shell-Side Velocity.</w:t>
      </w:r>
    </w:p>
    <w:p>
      <w:pPr>
        <w:jc w:val="center"/>
      </w:pPr>
      <w:r>
        <w:drawing>
          <wp:inline xmlns:a="http://schemas.openxmlformats.org/drawingml/2006/main" xmlns:pic="http://schemas.openxmlformats.org/drawingml/2006/picture">
            <wp:extent cx="7680960" cy="4626649"/>
            <wp:docPr id="16" name="Picture 16"/>
            <wp:cNvGraphicFramePr>
              <a:graphicFrameLocks noChangeAspect="1"/>
            </wp:cNvGraphicFramePr>
            <a:graphic>
              <a:graphicData uri="http://schemas.openxmlformats.org/drawingml/2006/picture">
                <pic:pic>
                  <pic:nvPicPr>
                    <pic:cNvPr id="0" name="case03B_flow_trajectories.png"/>
                    <pic:cNvPicPr/>
                  </pic:nvPicPr>
                  <pic:blipFill>
                    <a:blip r:embed="rId25"/>
                    <a:stretch>
                      <a:fillRect/>
                    </a:stretch>
                  </pic:blipFill>
                  <pic:spPr>
                    <a:xfrm>
                      <a:off x="0" y="0"/>
                      <a:ext cx="7680960" cy="4626649"/>
                    </a:xfrm>
                    <a:prstGeom prst="rect"/>
                  </pic:spPr>
                </pic:pic>
              </a:graphicData>
            </a:graphic>
          </wp:inline>
        </w:drawing>
      </w:r>
    </w:p>
    <w:p>
      <w:pPr>
        <w:spacing w:after="120"/>
        <w:jc w:val="center"/>
      </w:pPr>
      <w:r>
        <w:rPr>
          <w:i/>
          <w:sz w:val="16"/>
        </w:rPr>
        <w:t>Figure 4.4. Flow trajectories for Increased Shell-Side Velocity.</w:t>
      </w:r>
    </w:p>
    <w:p>
      <w:pPr>
        <w:pStyle w:val="Heading1"/>
      </w:pPr>
      <w:r>
        <w:t>Final Design Recommendation</w:t>
      </w:r>
    </w:p>
    <w:p>
      <w:pPr>
        <w:spacing w:after="80"/>
        <w:jc w:val="left"/>
      </w:pPr>
      <w:r>
        <w:t>The recommended design depends on the engineering objective:</w:t>
      </w:r>
    </w:p>
    <w:tbl>
      <w:tblPr>
        <w:tblStyle w:val="TableGrid"/>
        <w:tblW w:type="auto" w:w="0"/>
        <w:jc w:val="center"/>
        <w:tblLook w:firstColumn="1" w:firstRow="1" w:lastColumn="0" w:lastRow="0" w:noHBand="0" w:noVBand="1" w:val="04A0"/>
      </w:tblPr>
      <w:tblGrid>
        <w:gridCol w:w="4800"/>
        <w:gridCol w:w="4800"/>
        <w:gridCol w:w="4800"/>
      </w:tblGrid>
      <w:tr>
        <w:tc>
          <w:tcPr>
            <w:tcW w:type="dxa" w:w="4800"/>
            <w:vAlign w:val="center"/>
            <w:shd w:fill="1F4E79"/>
          </w:tcPr>
          <w:p>
            <w:pPr>
              <w:jc w:val="center"/>
            </w:pPr>
            <w:r>
              <w:rPr>
                <w:b/>
                <w:color w:val="FFFFFF"/>
                <w:sz w:val="16"/>
              </w:rPr>
              <w:t>Design priority</w:t>
            </w:r>
          </w:p>
        </w:tc>
        <w:tc>
          <w:tcPr>
            <w:tcW w:type="dxa" w:w="4800"/>
            <w:vAlign w:val="center"/>
            <w:shd w:fill="1F4E79"/>
          </w:tcPr>
          <w:p>
            <w:pPr>
              <w:jc w:val="center"/>
            </w:pPr>
            <w:r>
              <w:rPr>
                <w:b/>
                <w:color w:val="FFFFFF"/>
                <w:sz w:val="16"/>
              </w:rPr>
              <w:t>Recommended case</w:t>
            </w:r>
          </w:p>
        </w:tc>
        <w:tc>
          <w:tcPr>
            <w:tcW w:type="dxa" w:w="4800"/>
            <w:vAlign w:val="center"/>
            <w:shd w:fill="1F4E79"/>
          </w:tcPr>
          <w:p>
            <w:pPr>
              <w:jc w:val="center"/>
            </w:pPr>
            <w:r>
              <w:rPr>
                <w:b/>
                <w:color w:val="FFFFFF"/>
                <w:sz w:val="16"/>
              </w:rPr>
              <w:t>Reason</w:t>
            </w:r>
          </w:p>
        </w:tc>
      </w:tr>
      <w:tr>
        <w:tc>
          <w:tcPr>
            <w:tcW w:type="dxa" w:w="4800"/>
            <w:vAlign w:val="center"/>
          </w:tcPr>
          <w:p>
            <w:pPr>
              <w:jc w:val="center"/>
            </w:pPr>
            <w:r>
              <w:rPr>
                <w:b w:val="0"/>
                <w:sz w:val="16"/>
              </w:rPr>
              <w:t>Highest heat transfer</w:t>
            </w:r>
          </w:p>
        </w:tc>
        <w:tc>
          <w:tcPr>
            <w:tcW w:type="dxa" w:w="4800"/>
            <w:vAlign w:val="center"/>
          </w:tcPr>
          <w:p>
            <w:pPr>
              <w:jc w:val="center"/>
            </w:pPr>
            <w:r>
              <w:rPr>
                <w:b w:val="0"/>
                <w:sz w:val="16"/>
              </w:rPr>
              <w:t>Case 4 - Increased Shell-Side Velocity</w:t>
            </w:r>
          </w:p>
        </w:tc>
        <w:tc>
          <w:tcPr>
            <w:tcW w:type="dxa" w:w="4800"/>
            <w:vAlign w:val="center"/>
          </w:tcPr>
          <w:p>
            <w:pPr>
              <w:jc w:val="center"/>
            </w:pPr>
            <w:r>
              <w:rPr>
                <w:b w:val="0"/>
                <w:sz w:val="16"/>
              </w:rPr>
              <w:t>Lowest hot outlet temperature and highest heat duty, approximately 30.0 kW</w:t>
            </w:r>
          </w:p>
        </w:tc>
      </w:tr>
      <w:tr>
        <w:tc>
          <w:tcPr>
            <w:tcW w:type="dxa" w:w="4800"/>
            <w:vAlign w:val="center"/>
          </w:tcPr>
          <w:p>
            <w:pPr>
              <w:jc w:val="center"/>
            </w:pPr>
            <w:r>
              <w:rPr>
                <w:b w:val="0"/>
                <w:sz w:val="16"/>
              </w:rPr>
              <w:t>Best balanced design</w:t>
            </w:r>
          </w:p>
        </w:tc>
        <w:tc>
          <w:tcPr>
            <w:tcW w:type="dxa" w:w="4800"/>
            <w:vAlign w:val="center"/>
          </w:tcPr>
          <w:p>
            <w:pPr>
              <w:jc w:val="center"/>
            </w:pPr>
            <w:r>
              <w:rPr>
                <w:b w:val="0"/>
                <w:sz w:val="16"/>
              </w:rPr>
              <w:t>Case 3 - Inline Tube-Side Inlet Optimization</w:t>
            </w:r>
          </w:p>
        </w:tc>
        <w:tc>
          <w:tcPr>
            <w:tcW w:type="dxa" w:w="4800"/>
            <w:vAlign w:val="center"/>
          </w:tcPr>
          <w:p>
            <w:pPr>
              <w:jc w:val="center"/>
            </w:pPr>
            <w:r>
              <w:rPr>
                <w:b w:val="0"/>
                <w:sz w:val="16"/>
              </w:rPr>
              <w:t>Improves heat transfer while keeping pressure drops low</w:t>
            </w:r>
          </w:p>
        </w:tc>
      </w:tr>
      <w:tr>
        <w:tc>
          <w:tcPr>
            <w:tcW w:type="dxa" w:w="4800"/>
            <w:vAlign w:val="center"/>
          </w:tcPr>
          <w:p>
            <w:pPr>
              <w:jc w:val="center"/>
            </w:pPr>
            <w:r>
              <w:rPr>
                <w:b w:val="0"/>
                <w:sz w:val="16"/>
              </w:rPr>
              <w:t>Baseline reference</w:t>
            </w:r>
          </w:p>
        </w:tc>
        <w:tc>
          <w:tcPr>
            <w:tcW w:type="dxa" w:w="4800"/>
            <w:vAlign w:val="center"/>
          </w:tcPr>
          <w:p>
            <w:pPr>
              <w:jc w:val="center"/>
            </w:pPr>
            <w:r>
              <w:rPr>
                <w:b w:val="0"/>
                <w:sz w:val="16"/>
              </w:rPr>
              <w:t>Case 1 - Baseline Counterflow HX</w:t>
            </w:r>
          </w:p>
        </w:tc>
        <w:tc>
          <w:tcPr>
            <w:tcW w:type="dxa" w:w="4800"/>
            <w:vAlign w:val="center"/>
          </w:tcPr>
          <w:p>
            <w:pPr>
              <w:jc w:val="center"/>
            </w:pPr>
            <w:r>
              <w:rPr>
                <w:b w:val="0"/>
                <w:sz w:val="16"/>
              </w:rPr>
              <w:t>Validated reference case with excellent energy balance</w:t>
            </w:r>
          </w:p>
        </w:tc>
      </w:tr>
    </w:tbl>
    <w:p>
      <w:pPr>
        <w:spacing w:after="80"/>
        <w:jc w:val="left"/>
      </w:pPr>
      <w:r>
        <w:t>For a practical design recommendation, Case 3 is the preferred balanced configuration because it improves heat transfer compared with the baseline and reduces tube-side pressure drop. Case 4 is recommended only if the system can tolerate higher shell-side pumping requirements.</w:t>
      </w:r>
    </w:p>
    <w:p>
      <w:pPr>
        <w:pStyle w:val="Heading2"/>
      </w:pPr>
      <w:r>
        <w:t>Recommended Future Work</w:t>
      </w:r>
    </w:p>
    <w:p>
      <w:pPr>
        <w:pStyle w:val="ListBullet"/>
        <w:spacing w:after="40"/>
      </w:pPr>
      <w:r>
        <w:t>Run a mesh independence check on the selected final design using a slightly finer local mesh.</w:t>
      </w:r>
    </w:p>
    <w:p>
      <w:pPr>
        <w:pStyle w:val="ListBullet"/>
        <w:spacing w:after="40"/>
      </w:pPr>
      <w:r>
        <w:t>Evaluate intermediate shell-side velocities such as 0.15 m/s to find a better tradeoff between heat transfer and pressure drop.</w:t>
      </w:r>
    </w:p>
    <w:p>
      <w:pPr>
        <w:pStyle w:val="ListBullet"/>
        <w:spacing w:after="40"/>
      </w:pPr>
      <w:r>
        <w:t>Evaluate baffle spacing and baffle cut ratio to improve shell-side mixing without excessive pressure drop.</w:t>
      </w:r>
    </w:p>
    <w:p>
      <w:pPr>
        <w:pStyle w:val="ListBullet"/>
        <w:spacing w:after="40"/>
      </w:pPr>
      <w:r>
        <w:t>Quantify individual tube mass flow rates if tube-side maldistribution remains a critical design concern.</w:t>
      </w:r>
    </w:p>
    <w:p>
      <w:pPr>
        <w:pStyle w:val="ListBullet"/>
        <w:spacing w:after="40"/>
      </w:pPr>
      <w:r>
        <w:t>Validate the CFD trend against a hand calculation using LMTD or epsilon-NTU methods.</w:t>
      </w:r>
    </w:p>
    <w:p>
      <w:pPr>
        <w:pStyle w:val="Heading2"/>
      </w:pPr>
      <w:r>
        <w:t>Limitations</w:t>
      </w:r>
    </w:p>
    <w:p>
      <w:pPr>
        <w:pStyle w:val="ListBullet"/>
        <w:spacing w:after="40"/>
      </w:pPr>
      <w:r>
        <w:t>The study is comparative and uses steady-state CFD assumptions.</w:t>
      </w:r>
    </w:p>
    <w:p>
      <w:pPr>
        <w:pStyle w:val="ListBullet"/>
        <w:spacing w:after="40"/>
      </w:pPr>
      <w:r>
        <w:t>External heat loss is neglected using an adiabatic wall boundary condition.</w:t>
      </w:r>
    </w:p>
    <w:p>
      <w:pPr>
        <w:pStyle w:val="ListBullet"/>
        <w:spacing w:after="40"/>
      </w:pPr>
      <w:r>
        <w:t>Gravity was disabled for final results because the system is modeled as forced convection with pump-driven flow.</w:t>
      </w:r>
    </w:p>
    <w:p>
      <w:pPr>
        <w:pStyle w:val="ListBullet"/>
        <w:spacing w:after="40"/>
      </w:pPr>
      <w:r>
        <w:t>The results are appropriate for portfolio and design-screening purposes, but final product design would require experimental validation and more detailed mesh independence testing.</w:t>
      </w:r>
    </w:p>
    <w:sectPr w:rsidR="00FC693F" w:rsidRPr="0006063C" w:rsidSect="00034616">
      <w:footerReference w:type="default" r:id="rId9"/>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Shell and Tube Heat Exchanger CFD Study | SolidWorks Flow Simulation |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