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2367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495EFC36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t>EXECUTIVE OVERVIEW</w:t>
      </w:r>
    </w:p>
    <w:p w14:paraId="5BFE7CA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37C98D29" w14:textId="1365367F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Our organization currently experiences a 16.1% annual employee attrition rate, significantly higher than the industry benchmark of 10-12%. This analysis of 1,470 employees identifies the root causes and provides actionable solutions to reduce attrition and save ₹2-4 crores annually.</w:t>
      </w:r>
    </w:p>
    <w:p w14:paraId="0D8116FA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2C5B24DA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t>THE PROBLEM</w:t>
      </w:r>
    </w:p>
    <w:p w14:paraId="3FA1833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1A5DFBC3" w14:textId="2CE87470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Currently, approximately 237 employees leave the company each year. This costs the organization:</w:t>
      </w:r>
    </w:p>
    <w:p w14:paraId="229015C6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Direct hiring and recruitment costs: ₹1-1.5 lakhs per employee</w:t>
      </w:r>
    </w:p>
    <w:p w14:paraId="0CA00DAC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 xml:space="preserve">- Training and onboarding: ₹50,000-1 lakh per employee  </w:t>
      </w:r>
    </w:p>
    <w:p w14:paraId="7339308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Lost productivity: ₹50,000-2 lakhs per employee</w:t>
      </w:r>
    </w:p>
    <w:p w14:paraId="7408DD2D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Knowledge loss and team disruption: Immeasurable</w:t>
      </w:r>
    </w:p>
    <w:p w14:paraId="1319F1AD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655923B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Total annual impact: ₹2-4 crores</w:t>
      </w:r>
    </w:p>
    <w:p w14:paraId="27BCAB6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0C07780A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1594DC45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t>THREE KEY FACTORS DRIVING EMPLOYEE DEPARTURES</w:t>
      </w:r>
    </w:p>
    <w:p w14:paraId="0AD3053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5C7C6AD2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t>1. SALARY &amp; COMPENSATION</w:t>
      </w:r>
    </w:p>
    <w:p w14:paraId="2104CBBB" w14:textId="19A2BE64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Employees who leave earn ₹4,787 per month on average.</w:t>
      </w:r>
      <w:r w:rsidR="00ED6746" w:rsidRPr="00321CD6">
        <w:rPr>
          <w:rFonts w:ascii="Times New Roman" w:hAnsi="Times New Roman" w:cs="Times New Roman"/>
        </w:rPr>
        <w:t xml:space="preserve"> </w:t>
      </w:r>
      <w:r w:rsidRPr="00321CD6">
        <w:rPr>
          <w:rFonts w:ascii="Times New Roman" w:hAnsi="Times New Roman" w:cs="Times New Roman"/>
        </w:rPr>
        <w:t>Employees who stay earn ₹6,833 per month on average.</w:t>
      </w:r>
      <w:r w:rsidR="00ED6746" w:rsidRPr="00321CD6">
        <w:rPr>
          <w:rFonts w:ascii="Times New Roman" w:hAnsi="Times New Roman" w:cs="Times New Roman"/>
        </w:rPr>
        <w:t xml:space="preserve"> </w:t>
      </w:r>
      <w:r w:rsidRPr="00321CD6">
        <w:rPr>
          <w:rFonts w:ascii="Times New Roman" w:hAnsi="Times New Roman" w:cs="Times New Roman"/>
        </w:rPr>
        <w:t>Salary difference: ₹2,046 per month (30% gap).</w:t>
      </w:r>
      <w:r w:rsidR="00ED6746" w:rsidRPr="00321CD6">
        <w:rPr>
          <w:rFonts w:ascii="Times New Roman" w:hAnsi="Times New Roman" w:cs="Times New Roman"/>
        </w:rPr>
        <w:t xml:space="preserve"> </w:t>
      </w:r>
      <w:r w:rsidRPr="00321CD6">
        <w:rPr>
          <w:rFonts w:ascii="Times New Roman" w:hAnsi="Times New Roman" w:cs="Times New Roman"/>
        </w:rPr>
        <w:t>Analysis shows that employees earning below ₹5,500 per month are 2-3 times more likely to resign within 12 months. While salary alone doesn't explain all attrition, it is a critical threshold factor.</w:t>
      </w:r>
    </w:p>
    <w:p w14:paraId="50088034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05F532D1" w14:textId="1AA3019A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What we should do: Conduct a salary benchmarking audit for entry-level and junior roles. Ensure competitive compensation.</w:t>
      </w:r>
    </w:p>
    <w:p w14:paraId="2AAB39A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05D02260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t>2. FIRST-YEAR ONBOARDING (MOST CRITICAL)</w:t>
      </w:r>
    </w:p>
    <w:p w14:paraId="5E29EEF8" w14:textId="68C15015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36% of new employees leave within their first year.</w:t>
      </w:r>
      <w:r w:rsidR="00ED6746" w:rsidRPr="00321CD6">
        <w:rPr>
          <w:rFonts w:ascii="Times New Roman" w:hAnsi="Times New Roman" w:cs="Times New Roman"/>
        </w:rPr>
        <w:t xml:space="preserve"> </w:t>
      </w:r>
      <w:r w:rsidRPr="00321CD6">
        <w:rPr>
          <w:rFonts w:ascii="Times New Roman" w:hAnsi="Times New Roman" w:cs="Times New Roman"/>
        </w:rPr>
        <w:t>After year 1, retention improves dramatically.</w:t>
      </w:r>
      <w:r w:rsidR="00ED6746" w:rsidRPr="00321CD6">
        <w:rPr>
          <w:rFonts w:ascii="Times New Roman" w:hAnsi="Times New Roman" w:cs="Times New Roman"/>
        </w:rPr>
        <w:t xml:space="preserve"> </w:t>
      </w:r>
      <w:r w:rsidRPr="00321CD6">
        <w:rPr>
          <w:rFonts w:ascii="Times New Roman" w:hAnsi="Times New Roman" w:cs="Times New Roman"/>
        </w:rPr>
        <w:t>By year 4-5, most employees become long-term contributors.</w:t>
      </w:r>
      <w:r w:rsidR="00ED6746" w:rsidRPr="00321CD6">
        <w:rPr>
          <w:rFonts w:ascii="Times New Roman" w:hAnsi="Times New Roman" w:cs="Times New Roman"/>
        </w:rPr>
        <w:t xml:space="preserve"> </w:t>
      </w:r>
      <w:r w:rsidRPr="00321CD6">
        <w:rPr>
          <w:rFonts w:ascii="Times New Roman" w:hAnsi="Times New Roman" w:cs="Times New Roman"/>
        </w:rPr>
        <w:t>This pattern suggests that new hires are not adequately supported during their onboarding phase. Poor role clarity, inadequate mentoring, or weak team integration drives early departures.</w:t>
      </w:r>
    </w:p>
    <w:p w14:paraId="09C18CD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0763F8FA" w14:textId="263E01E5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 xml:space="preserve">What we should do: Implement a structured First-Year Success Program with regular </w:t>
      </w:r>
      <w:proofErr w:type="spellStart"/>
      <w:r w:rsidRPr="00321CD6">
        <w:rPr>
          <w:rFonts w:ascii="Times New Roman" w:hAnsi="Times New Roman" w:cs="Times New Roman"/>
        </w:rPr>
        <w:t>checkins</w:t>
      </w:r>
      <w:proofErr w:type="spellEnd"/>
      <w:r w:rsidRPr="00321CD6">
        <w:rPr>
          <w:rFonts w:ascii="Times New Roman" w:hAnsi="Times New Roman" w:cs="Times New Roman"/>
        </w:rPr>
        <w:t>, mentoring, and career development discussions.</w:t>
      </w:r>
    </w:p>
    <w:p w14:paraId="2153485E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130C04C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4F2137B0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t>3. WORK-LIFE BALANCE</w:t>
      </w:r>
    </w:p>
    <w:p w14:paraId="7D5E27A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Employees rating work-life balance as "poor" (1/4): 31% leave</w:t>
      </w:r>
    </w:p>
    <w:p w14:paraId="202350CA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Employees rating work-life balance as "good" (4/4): 18% leave</w:t>
      </w:r>
    </w:p>
    <w:p w14:paraId="05DF0E42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Difference: 13 percentage points</w:t>
      </w:r>
    </w:p>
    <w:p w14:paraId="5932A848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2EB7A0E0" w14:textId="7A976D2A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This shows that work-life balance is a strong predictor of attrition. Employees facing chronic overtime, inflexible schedules, and high stress are significantly more likely to resign.</w:t>
      </w:r>
    </w:p>
    <w:p w14:paraId="55A389F0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6F606DEA" w14:textId="1E43DE78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What we should do: Implement flexible work policies, remote work options, and workload management initiatives.</w:t>
      </w:r>
    </w:p>
    <w:p w14:paraId="6165983A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118DCA68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079AA963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lastRenderedPageBreak/>
        <w:t>DEPARTMENT &amp; ROLE RISK ASSESSMENT</w:t>
      </w:r>
    </w:p>
    <w:p w14:paraId="5360F7E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4A12666D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t>HIGH RISK ZONES:</w:t>
      </w:r>
    </w:p>
    <w:p w14:paraId="240CA55C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Sales Department: 20.6% attrition</w:t>
      </w:r>
    </w:p>
    <w:p w14:paraId="14307073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Sales Representatives: 39.8% exit rate (highest risk role)</w:t>
      </w:r>
    </w:p>
    <w:p w14:paraId="21569DD5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Sales Executives: 17.5% exit rate</w:t>
      </w:r>
    </w:p>
    <w:p w14:paraId="5DAFB7FC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Human Resources Department: 19.0% attrition</w:t>
      </w:r>
    </w:p>
    <w:p w14:paraId="39322C05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34E822A9" w14:textId="61A6D6D3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  <w:b/>
          <w:bCs/>
        </w:rPr>
        <w:t>LOWER RISK:</w:t>
      </w:r>
      <w:r w:rsidR="003B5799" w:rsidRPr="00321CD6">
        <w:rPr>
          <w:rFonts w:ascii="Times New Roman" w:hAnsi="Times New Roman" w:cs="Times New Roman"/>
        </w:rPr>
        <w:t xml:space="preserve"> </w:t>
      </w:r>
      <w:r w:rsidRPr="00321CD6">
        <w:rPr>
          <w:rFonts w:ascii="Times New Roman" w:hAnsi="Times New Roman" w:cs="Times New Roman"/>
        </w:rPr>
        <w:t>Research &amp; Development: 13.8% attrition</w:t>
      </w:r>
    </w:p>
    <w:p w14:paraId="48867733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7C338261" w14:textId="588C5330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  <w:b/>
          <w:bCs/>
        </w:rPr>
        <w:t>RECOMMENDATION</w:t>
      </w:r>
      <w:r w:rsidRPr="00321CD6">
        <w:rPr>
          <w:rFonts w:ascii="Times New Roman" w:hAnsi="Times New Roman" w:cs="Times New Roman"/>
        </w:rPr>
        <w:t>: Prioritize the Sales department for immediate intervention. Nearly 2 in 5 sales representatives leave annually.</w:t>
      </w:r>
    </w:p>
    <w:p w14:paraId="119DD1D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6E890950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t>DOES HIGHER SALARY ALONE SOLVE THIS?</w:t>
      </w:r>
    </w:p>
    <w:p w14:paraId="5232DC43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No. Salary is necessary but not sufficient.</w:t>
      </w:r>
    </w:p>
    <w:p w14:paraId="0438E709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1603FEF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Our data shows:</w:t>
      </w:r>
    </w:p>
    <w:p w14:paraId="32581FA5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Salary explains approximately 35% of attrition decisions</w:t>
      </w:r>
    </w:p>
    <w:p w14:paraId="79C2CA57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Work-life balance, career development, and role satisfaction explain 65%</w:t>
      </w:r>
    </w:p>
    <w:p w14:paraId="40D95DCC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6DF02E0D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 xml:space="preserve">A well-compensated employee in a stressful, overworked role with inflexible </w:t>
      </w:r>
    </w:p>
    <w:p w14:paraId="3223ABD9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 xml:space="preserve">schedules will still leave. Conversely, a moderately paid employee who feels </w:t>
      </w:r>
    </w:p>
    <w:p w14:paraId="1D8478E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supported and has work flexibility is more likely to stay.</w:t>
      </w:r>
    </w:p>
    <w:p w14:paraId="7E1E096E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615CBBE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  <w:b/>
          <w:bCs/>
        </w:rPr>
        <w:t>SOLUTION</w:t>
      </w:r>
      <w:r w:rsidRPr="00321CD6">
        <w:rPr>
          <w:rFonts w:ascii="Times New Roman" w:hAnsi="Times New Roman" w:cs="Times New Roman"/>
        </w:rPr>
        <w:t>: Address salary, work-life balance, and career growth together.</w:t>
      </w:r>
    </w:p>
    <w:p w14:paraId="3DA2030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0B5C246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68EC4D1E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t>TWO RECOMMENDED INITIATIVES</w:t>
      </w:r>
    </w:p>
    <w:p w14:paraId="4C57545C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</w:p>
    <w:p w14:paraId="4D4C2CCE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  <w:b/>
          <w:bCs/>
        </w:rPr>
        <w:t>INITIATIVE 1: FIRST-YEAR SUCCESS PROGRAM</w:t>
      </w:r>
    </w:p>
    <w:p w14:paraId="7E5FBD70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39F37364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Cost: ₹50,000 per employee</w:t>
      </w:r>
    </w:p>
    <w:p w14:paraId="4B9E86FD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Expected outcome: 50% reduction in first-year attrition</w:t>
      </w:r>
    </w:p>
    <w:p w14:paraId="1BAD7293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Timeline: 6-8 weeks to implement</w:t>
      </w:r>
    </w:p>
    <w:p w14:paraId="681142F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7944296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Program structure:</w:t>
      </w:r>
    </w:p>
    <w:p w14:paraId="46F5E695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Week 1: Welcome meeting, role expectations, team introduction</w:t>
      </w:r>
    </w:p>
    <w:p w14:paraId="629BAD94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Week 2: Dedicated mentor assigned, workflow training</w:t>
      </w:r>
    </w:p>
    <w:p w14:paraId="095F039A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Month 2: Career development discussion, feedback session</w:t>
      </w:r>
    </w:p>
    <w:p w14:paraId="1D19CF96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Month 3: Mid-probation review, performance assessment</w:t>
      </w:r>
    </w:p>
    <w:p w14:paraId="023D8084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Month 6: Mid-year check-in, goal alignment</w:t>
      </w:r>
    </w:p>
    <w:p w14:paraId="0C780553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Month 12: Retention discussion, promotion pathway review</w:t>
      </w:r>
    </w:p>
    <w:p w14:paraId="7370EB90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4E09DCCD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Benefits:</w:t>
      </w:r>
    </w:p>
    <w:p w14:paraId="6B688BF2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Reduce first-year attrition from 36% to 18%</w:t>
      </w:r>
    </w:p>
    <w:p w14:paraId="24CDBD33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Improve employee satisfaction and engagement</w:t>
      </w:r>
    </w:p>
    <w:p w14:paraId="03E011CA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Increase retention of high-performing new hires</w:t>
      </w:r>
    </w:p>
    <w:p w14:paraId="4617381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Stronger team integration and knowledge transfer</w:t>
      </w:r>
    </w:p>
    <w:p w14:paraId="03CEBB2C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2CEF360A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Financial impact:</w:t>
      </w:r>
    </w:p>
    <w:p w14:paraId="6FF8FA2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Cost per program: ₹50,000</w:t>
      </w:r>
    </w:p>
    <w:p w14:paraId="3DA229F9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lastRenderedPageBreak/>
        <w:t>- Savings per retained employee: ₹2,00,000+</w:t>
      </w:r>
    </w:p>
    <w:p w14:paraId="11311418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Return on investment: 4:1 (for every ₹1 spent, save ₹4)</w:t>
      </w:r>
    </w:p>
    <w:p w14:paraId="22DCA002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04F3248D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7ECDF50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t>INITIATIVE 2: WORK-LIFE BALANCE &amp; FLEXIBILITY POLICY</w:t>
      </w:r>
    </w:p>
    <w:p w14:paraId="3E3F375C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1A3BA874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Cost: Low (infrastructure and policy changes only)</w:t>
      </w:r>
    </w:p>
    <w:p w14:paraId="7DBA306C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Expected outcome: 10-15% attrition reduction</w:t>
      </w:r>
    </w:p>
    <w:p w14:paraId="6AE0879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Timeline: 4-8 weeks to implement</w:t>
      </w:r>
    </w:p>
    <w:p w14:paraId="42BF468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3F02C287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Policy components:</w:t>
      </w:r>
    </w:p>
    <w:p w14:paraId="67ED821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Flexible hours: Core working hours 10 AM - 3 PM, flexible start/end times</w:t>
      </w:r>
    </w:p>
    <w:p w14:paraId="1DA3BBE4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Remote work: Minimum 2 days per week from home (eligible roles)</w:t>
      </w:r>
    </w:p>
    <w:p w14:paraId="2D6BDB04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Wellness days: 2 additional personal days per year</w:t>
      </w:r>
    </w:p>
    <w:p w14:paraId="1DBE0358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Workload audits: Identify and redistribute chronic overtime roles</w:t>
      </w:r>
    </w:p>
    <w:p w14:paraId="1D93071C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Pulse surveys: Quarterly work-life balance assessments</w:t>
      </w:r>
    </w:p>
    <w:p w14:paraId="2C84833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72AB41E7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Benefits:</w:t>
      </w:r>
    </w:p>
    <w:p w14:paraId="2F0C2218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Improve employee work-life balance satisfaction</w:t>
      </w:r>
    </w:p>
    <w:p w14:paraId="7F84D133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Reduce burnout and stress-related departures</w:t>
      </w:r>
    </w:p>
    <w:p w14:paraId="255A939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Increase productivity and focus time</w:t>
      </w:r>
    </w:p>
    <w:p w14:paraId="1EDD6160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Better employee mental health and well-being</w:t>
      </w:r>
    </w:p>
    <w:p w14:paraId="2DED5EF7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06610153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Financial impact:</w:t>
      </w:r>
    </w:p>
    <w:p w14:paraId="527C8D97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Estimated savings: ₹5-8 lakhs per 1,000 employees annually</w:t>
      </w:r>
    </w:p>
    <w:p w14:paraId="0F50BBCA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Additional benefits: Improved productivity, reduced sick days</w:t>
      </w:r>
    </w:p>
    <w:p w14:paraId="2740F75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No significant additional costs (infrastructure already exists)</w:t>
      </w:r>
    </w:p>
    <w:p w14:paraId="025EB9D4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070BA3F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649E7CD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t>IMPLEMENTATION ROADMAP</w:t>
      </w:r>
    </w:p>
    <w:p w14:paraId="2F2959A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60626198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MONTH 1:</w:t>
      </w:r>
    </w:p>
    <w:p w14:paraId="3946E7F3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Segoe UI Symbol" w:hAnsi="Segoe UI Symbol" w:cs="Segoe UI Symbol"/>
        </w:rPr>
        <w:t>✓</w:t>
      </w:r>
      <w:r w:rsidRPr="00321CD6">
        <w:rPr>
          <w:rFonts w:ascii="Times New Roman" w:hAnsi="Times New Roman" w:cs="Times New Roman"/>
        </w:rPr>
        <w:t xml:space="preserve"> Approve both initiatives</w:t>
      </w:r>
    </w:p>
    <w:p w14:paraId="703D260C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Segoe UI Symbol" w:hAnsi="Segoe UI Symbol" w:cs="Segoe UI Symbol"/>
        </w:rPr>
        <w:t>✓</w:t>
      </w:r>
      <w:r w:rsidRPr="00321CD6">
        <w:rPr>
          <w:rFonts w:ascii="Times New Roman" w:hAnsi="Times New Roman" w:cs="Times New Roman"/>
        </w:rPr>
        <w:t xml:space="preserve"> Launch work-life balance policy company-wide</w:t>
      </w:r>
    </w:p>
    <w:p w14:paraId="74E99337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Segoe UI Symbol" w:hAnsi="Segoe UI Symbol" w:cs="Segoe UI Symbol"/>
        </w:rPr>
        <w:t>✓</w:t>
      </w:r>
      <w:r w:rsidRPr="00321CD6">
        <w:rPr>
          <w:rFonts w:ascii="Times New Roman" w:hAnsi="Times New Roman" w:cs="Times New Roman"/>
        </w:rPr>
        <w:t xml:space="preserve"> Identify top 100 at-risk employees</w:t>
      </w:r>
    </w:p>
    <w:p w14:paraId="3FC1A4BC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Segoe UI Symbol" w:hAnsi="Segoe UI Symbol" w:cs="Segoe UI Symbol"/>
        </w:rPr>
        <w:t>✓</w:t>
      </w:r>
      <w:r w:rsidRPr="00321CD6">
        <w:rPr>
          <w:rFonts w:ascii="Times New Roman" w:hAnsi="Times New Roman" w:cs="Times New Roman"/>
        </w:rPr>
        <w:t xml:space="preserve"> Begin pilot First-Year Success Program in Sales department</w:t>
      </w:r>
    </w:p>
    <w:p w14:paraId="02D98E9A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6F40564D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MONTH 2:</w:t>
      </w:r>
    </w:p>
    <w:p w14:paraId="123BB633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Segoe UI Symbol" w:hAnsi="Segoe UI Symbol" w:cs="Segoe UI Symbol"/>
        </w:rPr>
        <w:t>✓</w:t>
      </w:r>
      <w:r w:rsidRPr="00321CD6">
        <w:rPr>
          <w:rFonts w:ascii="Times New Roman" w:hAnsi="Times New Roman" w:cs="Times New Roman"/>
        </w:rPr>
        <w:t xml:space="preserve"> Expand First-Year Success Program to all departments</w:t>
      </w:r>
    </w:p>
    <w:p w14:paraId="17C96E10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Segoe UI Symbol" w:hAnsi="Segoe UI Symbol" w:cs="Segoe UI Symbol"/>
        </w:rPr>
        <w:t>✓</w:t>
      </w:r>
      <w:r w:rsidRPr="00321CD6">
        <w:rPr>
          <w:rFonts w:ascii="Times New Roman" w:hAnsi="Times New Roman" w:cs="Times New Roman"/>
        </w:rPr>
        <w:t xml:space="preserve"> Implement flexible work arrangements</w:t>
      </w:r>
    </w:p>
    <w:p w14:paraId="259023B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Segoe UI Symbol" w:hAnsi="Segoe UI Symbol" w:cs="Segoe UI Symbol"/>
        </w:rPr>
        <w:t>✓</w:t>
      </w:r>
      <w:r w:rsidRPr="00321CD6">
        <w:rPr>
          <w:rFonts w:ascii="Times New Roman" w:hAnsi="Times New Roman" w:cs="Times New Roman"/>
        </w:rPr>
        <w:t xml:space="preserve"> Conduct manager training on retention best practices</w:t>
      </w:r>
    </w:p>
    <w:p w14:paraId="25B81840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Segoe UI Symbol" w:hAnsi="Segoe UI Symbol" w:cs="Segoe UI Symbol"/>
        </w:rPr>
        <w:t>✓</w:t>
      </w:r>
      <w:r w:rsidRPr="00321CD6">
        <w:rPr>
          <w:rFonts w:ascii="Times New Roman" w:hAnsi="Times New Roman" w:cs="Times New Roman"/>
        </w:rPr>
        <w:t xml:space="preserve"> Launch wellness initiative</w:t>
      </w:r>
    </w:p>
    <w:p w14:paraId="22871C2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344EDF67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MONTH 3-4:</w:t>
      </w:r>
    </w:p>
    <w:p w14:paraId="50DD3BD9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Segoe UI Symbol" w:hAnsi="Segoe UI Symbol" w:cs="Segoe UI Symbol"/>
        </w:rPr>
        <w:t>✓</w:t>
      </w:r>
      <w:r w:rsidRPr="00321CD6">
        <w:rPr>
          <w:rFonts w:ascii="Times New Roman" w:hAnsi="Times New Roman" w:cs="Times New Roman"/>
        </w:rPr>
        <w:t xml:space="preserve"> Review early attrition data</w:t>
      </w:r>
    </w:p>
    <w:p w14:paraId="524DCDF8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Segoe UI Symbol" w:hAnsi="Segoe UI Symbol" w:cs="Segoe UI Symbol"/>
        </w:rPr>
        <w:t>✓</w:t>
      </w:r>
      <w:r w:rsidRPr="00321CD6">
        <w:rPr>
          <w:rFonts w:ascii="Times New Roman" w:hAnsi="Times New Roman" w:cs="Times New Roman"/>
        </w:rPr>
        <w:t xml:space="preserve"> Measure program impact</w:t>
      </w:r>
    </w:p>
    <w:p w14:paraId="0DE390A4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Segoe UI Symbol" w:hAnsi="Segoe UI Symbol" w:cs="Segoe UI Symbol"/>
        </w:rPr>
        <w:t>✓</w:t>
      </w:r>
      <w:r w:rsidRPr="00321CD6">
        <w:rPr>
          <w:rFonts w:ascii="Times New Roman" w:hAnsi="Times New Roman" w:cs="Times New Roman"/>
        </w:rPr>
        <w:t xml:space="preserve"> Gather employee feedback</w:t>
      </w:r>
    </w:p>
    <w:p w14:paraId="6E30AC7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Segoe UI Symbol" w:hAnsi="Segoe UI Symbol" w:cs="Segoe UI Symbol"/>
        </w:rPr>
        <w:t>✓</w:t>
      </w:r>
      <w:r w:rsidRPr="00321CD6">
        <w:rPr>
          <w:rFonts w:ascii="Times New Roman" w:hAnsi="Times New Roman" w:cs="Times New Roman"/>
        </w:rPr>
        <w:t xml:space="preserve"> Make adjustments as needed</w:t>
      </w:r>
    </w:p>
    <w:p w14:paraId="5C55E0C5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659CC998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lastRenderedPageBreak/>
        <w:t>MONTH 5-6:</w:t>
      </w:r>
    </w:p>
    <w:p w14:paraId="4AEEB8DD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Segoe UI Symbol" w:hAnsi="Segoe UI Symbol" w:cs="Segoe UI Symbol"/>
        </w:rPr>
        <w:t>✓</w:t>
      </w:r>
      <w:r w:rsidRPr="00321CD6">
        <w:rPr>
          <w:rFonts w:ascii="Times New Roman" w:hAnsi="Times New Roman" w:cs="Times New Roman"/>
        </w:rPr>
        <w:t xml:space="preserve"> Full impact assessment</w:t>
      </w:r>
    </w:p>
    <w:p w14:paraId="4336DEA9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Segoe UI Symbol" w:hAnsi="Segoe UI Symbol" w:cs="Segoe UI Symbol"/>
        </w:rPr>
        <w:t>✓</w:t>
      </w:r>
      <w:r w:rsidRPr="00321CD6">
        <w:rPr>
          <w:rFonts w:ascii="Times New Roman" w:hAnsi="Times New Roman" w:cs="Times New Roman"/>
        </w:rPr>
        <w:t xml:space="preserve"> Compare before/after metrics</w:t>
      </w:r>
    </w:p>
    <w:p w14:paraId="2B08D436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Segoe UI Symbol" w:hAnsi="Segoe UI Symbol" w:cs="Segoe UI Symbol"/>
        </w:rPr>
        <w:t>✓</w:t>
      </w:r>
      <w:r w:rsidRPr="00321CD6">
        <w:rPr>
          <w:rFonts w:ascii="Times New Roman" w:hAnsi="Times New Roman" w:cs="Times New Roman"/>
        </w:rPr>
        <w:t xml:space="preserve"> Plan next phase improvements</w:t>
      </w:r>
    </w:p>
    <w:p w14:paraId="0CC1D4CA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030D139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27B44E69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t>EXPECTED RESULTS (6-MONTH TIMELINE)</w:t>
      </w:r>
    </w:p>
    <w:p w14:paraId="4B30D67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2BA11057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Before Initiative:</w:t>
      </w:r>
    </w:p>
    <w:p w14:paraId="5CFCA369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Attrition rate: 16.1%</w:t>
      </w:r>
    </w:p>
    <w:p w14:paraId="6315C9C3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Annual departures: ~237 employees</w:t>
      </w:r>
    </w:p>
    <w:p w14:paraId="55EA16C7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Annual cost: ₹2-4 crores</w:t>
      </w:r>
    </w:p>
    <w:p w14:paraId="1078C170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03A1A3C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After Initiative (Projected):</w:t>
      </w:r>
    </w:p>
    <w:p w14:paraId="6B15DF90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Attrition rate: 10-11% (realistic target)</w:t>
      </w:r>
    </w:p>
    <w:p w14:paraId="412E8D53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Annual departures: ~150 employees</w:t>
      </w:r>
    </w:p>
    <w:p w14:paraId="31F0864A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Annual savings: ₹2-4 crores</w:t>
      </w:r>
    </w:p>
    <w:p w14:paraId="735C964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Employee satisfaction increase: +15-20%</w:t>
      </w:r>
    </w:p>
    <w:p w14:paraId="41FD1F7E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Retention of high performers: +25%</w:t>
      </w:r>
    </w:p>
    <w:p w14:paraId="26AE038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7CCB562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1FB5ABEE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t>IMPORTANT LIMITATIONS</w:t>
      </w:r>
    </w:p>
    <w:p w14:paraId="17918A20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77C5A211" w14:textId="317D993E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This analysis identifies patterns and correlations based on historical data. It is a diagnostic tool, not an absolute prediction system.</w:t>
      </w:r>
    </w:p>
    <w:p w14:paraId="73E74FF9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0BF3EF95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What the analysis CANNOT predict:</w:t>
      </w:r>
    </w:p>
    <w:p w14:paraId="283ADECD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Personal or family crises requiring resignation</w:t>
      </w:r>
    </w:p>
    <w:p w14:paraId="758236BC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Unexpected competitive offers from other companies</w:t>
      </w:r>
    </w:p>
    <w:p w14:paraId="1F7AC974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Hidden burnout (requires employee surveys)</w:t>
      </w:r>
    </w:p>
    <w:p w14:paraId="448F240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Personal career ambitions beyond current role</w:t>
      </w:r>
    </w:p>
    <w:p w14:paraId="426720C7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External market changes</w:t>
      </w:r>
    </w:p>
    <w:p w14:paraId="09613728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718DAA3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How to use this analysis effectively:</w:t>
      </w:r>
    </w:p>
    <w:p w14:paraId="62C89C2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Identify at-risk employees for proactive conversations</w:t>
      </w:r>
    </w:p>
    <w:p w14:paraId="451C8F9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Validate manager concerns with data</w:t>
      </w:r>
    </w:p>
    <w:p w14:paraId="73BC750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Prioritize retention investments</w:t>
      </w:r>
    </w:p>
    <w:p w14:paraId="1FE1A492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Measure impact of new policies over time</w:t>
      </w:r>
    </w:p>
    <w:p w14:paraId="2E733C99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Combine with regular manager check-ins and employee surveys</w:t>
      </w:r>
    </w:p>
    <w:p w14:paraId="15E87EF8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135BAB37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This should complement, not replace, manager judgment and employee conversations.</w:t>
      </w:r>
    </w:p>
    <w:p w14:paraId="3EC41C85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0486F55C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487F7222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t>FINANCIAL SUMMARY</w:t>
      </w:r>
    </w:p>
    <w:p w14:paraId="5C4A6687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2D4C43A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Total investment required: ₹50-80 lakhs</w:t>
      </w:r>
    </w:p>
    <w:p w14:paraId="61CB3142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First-Year Program: ₹50 lakhs (for ~500 hires/year)</w:t>
      </w:r>
    </w:p>
    <w:p w14:paraId="4B2D8C8A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Work-life policy implementation: ₹20-30 lakhs (systems, training)</w:t>
      </w:r>
    </w:p>
    <w:p w14:paraId="2D7562A0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0B555B76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Annual savings: ₹2-4 crores</w:t>
      </w:r>
    </w:p>
    <w:p w14:paraId="64A26E58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lastRenderedPageBreak/>
        <w:t>- Reduced recruitment costs: ₹1-1.5 crores</w:t>
      </w:r>
    </w:p>
    <w:p w14:paraId="467013D0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Reduced training costs: ₹50 lakhs</w:t>
      </w:r>
    </w:p>
    <w:p w14:paraId="54B4F757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- Reduced productivity loss: ₹50 lakhs-1 crore</w:t>
      </w:r>
    </w:p>
    <w:p w14:paraId="3D81AA35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326B98C8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Payback period: 2-3 months</w:t>
      </w:r>
    </w:p>
    <w:p w14:paraId="64D10F37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434193A9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Return on investment: 250-400% in first year</w:t>
      </w:r>
    </w:p>
    <w:p w14:paraId="45CA9CB3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08EA64DC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232BF9A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21CD6">
        <w:rPr>
          <w:rFonts w:ascii="Times New Roman" w:hAnsi="Times New Roman" w:cs="Times New Roman"/>
          <w:b/>
          <w:bCs/>
        </w:rPr>
        <w:t>RECOMMENDATION</w:t>
      </w:r>
    </w:p>
    <w:p w14:paraId="691467AF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4EDA8861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We recommend immediate approval and implementation of both initiatives.</w:t>
      </w:r>
    </w:p>
    <w:p w14:paraId="30AEC8FB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631F199B" w14:textId="41796233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This is both a people-focused initiative (supporting employees) and a financially sound business decision (saving ₹2-4 crores annually).</w:t>
      </w:r>
      <w:r w:rsidR="00321CD6">
        <w:rPr>
          <w:rFonts w:ascii="Times New Roman" w:hAnsi="Times New Roman" w:cs="Times New Roman"/>
        </w:rPr>
        <w:t xml:space="preserve"> </w:t>
      </w:r>
      <w:r w:rsidRPr="00321CD6">
        <w:rPr>
          <w:rFonts w:ascii="Times New Roman" w:hAnsi="Times New Roman" w:cs="Times New Roman"/>
        </w:rPr>
        <w:t>The first-year program addresses the #1 attrition driver. The work-life balance initiative addresses sustainability and satisfaction across the organization.</w:t>
      </w:r>
      <w:r w:rsidR="00321CD6">
        <w:rPr>
          <w:rFonts w:ascii="Times New Roman" w:hAnsi="Times New Roman" w:cs="Times New Roman"/>
        </w:rPr>
        <w:t xml:space="preserve"> </w:t>
      </w:r>
      <w:r w:rsidRPr="00321CD6">
        <w:rPr>
          <w:rFonts w:ascii="Times New Roman" w:hAnsi="Times New Roman" w:cs="Times New Roman"/>
        </w:rPr>
        <w:t>Together, these two initiatives can reduce attrition from 16% to 10% within 6 months and create a more engaged, productive workforce.</w:t>
      </w:r>
    </w:p>
    <w:p w14:paraId="3B2649E4" w14:textId="77777777" w:rsidR="00143CF2" w:rsidRDefault="00143CF2" w:rsidP="00ED6746">
      <w:pPr>
        <w:contextualSpacing/>
        <w:jc w:val="both"/>
        <w:rPr>
          <w:rFonts w:ascii="Times New Roman" w:hAnsi="Times New Roman" w:cs="Times New Roman"/>
        </w:rPr>
      </w:pPr>
    </w:p>
    <w:p w14:paraId="5B5A4406" w14:textId="77777777" w:rsidR="00A46D1E" w:rsidRPr="00321CD6" w:rsidRDefault="00A46D1E" w:rsidP="00ED6746">
      <w:pPr>
        <w:contextualSpacing/>
        <w:jc w:val="both"/>
        <w:rPr>
          <w:rFonts w:ascii="Times New Roman" w:hAnsi="Times New Roman" w:cs="Times New Roman"/>
        </w:rPr>
      </w:pPr>
    </w:p>
    <w:p w14:paraId="5D59D4F9" w14:textId="6EDB2CE4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 xml:space="preserve">Prepared by: </w:t>
      </w:r>
      <w:r w:rsidR="00321CD6">
        <w:rPr>
          <w:rFonts w:ascii="Times New Roman" w:hAnsi="Times New Roman" w:cs="Times New Roman"/>
        </w:rPr>
        <w:t>Yash Purbhe</w:t>
      </w:r>
    </w:p>
    <w:p w14:paraId="5A4C2B4C" w14:textId="77777777" w:rsidR="00143CF2" w:rsidRPr="00321CD6" w:rsidRDefault="00143CF2" w:rsidP="00ED6746">
      <w:pPr>
        <w:contextualSpacing/>
        <w:jc w:val="both"/>
        <w:rPr>
          <w:rFonts w:ascii="Times New Roman" w:hAnsi="Times New Roman" w:cs="Times New Roman"/>
        </w:rPr>
      </w:pPr>
      <w:r w:rsidRPr="00321CD6">
        <w:rPr>
          <w:rFonts w:ascii="Times New Roman" w:hAnsi="Times New Roman" w:cs="Times New Roman"/>
        </w:rPr>
        <w:t>Date: June 2026</w:t>
      </w:r>
    </w:p>
    <w:p w14:paraId="37785137" w14:textId="69562707" w:rsidR="004E64C5" w:rsidRPr="00321CD6" w:rsidRDefault="004E64C5" w:rsidP="00ED6746">
      <w:pPr>
        <w:contextualSpacing/>
        <w:jc w:val="both"/>
      </w:pPr>
    </w:p>
    <w:sectPr w:rsidR="004E64C5" w:rsidRPr="00321CD6" w:rsidSect="00ED6746">
      <w:headerReference w:type="first" r:id="rId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077A3" w14:textId="77777777" w:rsidR="008A6DF1" w:rsidRDefault="008A6DF1" w:rsidP="00ED6746">
      <w:pPr>
        <w:spacing w:after="0" w:line="240" w:lineRule="auto"/>
      </w:pPr>
      <w:r>
        <w:separator/>
      </w:r>
    </w:p>
  </w:endnote>
  <w:endnote w:type="continuationSeparator" w:id="0">
    <w:p w14:paraId="6B6EA9A7" w14:textId="77777777" w:rsidR="008A6DF1" w:rsidRDefault="008A6DF1" w:rsidP="00ED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C60FA" w14:textId="77777777" w:rsidR="008A6DF1" w:rsidRDefault="008A6DF1" w:rsidP="00ED6746">
      <w:pPr>
        <w:spacing w:after="0" w:line="240" w:lineRule="auto"/>
      </w:pPr>
      <w:r>
        <w:separator/>
      </w:r>
    </w:p>
  </w:footnote>
  <w:footnote w:type="continuationSeparator" w:id="0">
    <w:p w14:paraId="5333BD6A" w14:textId="77777777" w:rsidR="008A6DF1" w:rsidRDefault="008A6DF1" w:rsidP="00ED6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FB423" w14:textId="77777777" w:rsidR="00ED6746" w:rsidRPr="00143CF2" w:rsidRDefault="00ED6746" w:rsidP="00ED6746">
    <w:pPr>
      <w:contextualSpacing/>
      <w:jc w:val="center"/>
      <w:rPr>
        <w:rFonts w:ascii="Times New Roman" w:hAnsi="Times New Roman" w:cs="Times New Roman"/>
        <w:sz w:val="24"/>
        <w:szCs w:val="24"/>
      </w:rPr>
    </w:pPr>
    <w:r w:rsidRPr="00143CF2">
      <w:rPr>
        <w:rFonts w:ascii="Times New Roman" w:hAnsi="Times New Roman" w:cs="Times New Roman"/>
        <w:sz w:val="24"/>
        <w:szCs w:val="24"/>
      </w:rPr>
      <w:t>EMPLOYEE ATTRITION ANALYSIS &amp; RECOMMENDATIONS</w:t>
    </w:r>
  </w:p>
  <w:p w14:paraId="0494DA1E" w14:textId="5C1A6E81" w:rsidR="00ED6746" w:rsidRPr="00ED6746" w:rsidRDefault="00ED6746" w:rsidP="00ED6746">
    <w:pPr>
      <w:contextualSpacing/>
      <w:jc w:val="center"/>
      <w:rPr>
        <w:rFonts w:ascii="Times New Roman" w:hAnsi="Times New Roman" w:cs="Times New Roman"/>
        <w:sz w:val="24"/>
        <w:szCs w:val="24"/>
      </w:rPr>
    </w:pPr>
    <w:r w:rsidRPr="00143CF2">
      <w:rPr>
        <w:rFonts w:ascii="Times New Roman" w:hAnsi="Times New Roman" w:cs="Times New Roman"/>
        <w:sz w:val="24"/>
        <w:szCs w:val="24"/>
      </w:rPr>
      <w:t>Executive Summary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85"/>
    <w:rsid w:val="00143CF2"/>
    <w:rsid w:val="00321CD6"/>
    <w:rsid w:val="003A0C3B"/>
    <w:rsid w:val="003B5799"/>
    <w:rsid w:val="004E64C5"/>
    <w:rsid w:val="006307D3"/>
    <w:rsid w:val="006C460D"/>
    <w:rsid w:val="008A6DF1"/>
    <w:rsid w:val="00A46D1E"/>
    <w:rsid w:val="00A57D65"/>
    <w:rsid w:val="00B11DED"/>
    <w:rsid w:val="00DA4D85"/>
    <w:rsid w:val="00E927D4"/>
    <w:rsid w:val="00ED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A80C9"/>
  <w15:chartTrackingRefBased/>
  <w15:docId w15:val="{47CE3234-3230-48A4-8D19-506675C4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D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746"/>
  </w:style>
  <w:style w:type="paragraph" w:styleId="Footer">
    <w:name w:val="footer"/>
    <w:basedOn w:val="Normal"/>
    <w:link w:val="FooterChar"/>
    <w:uiPriority w:val="99"/>
    <w:unhideWhenUsed/>
    <w:rsid w:val="00ED6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1153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Purbhe</dc:creator>
  <cp:keywords/>
  <dc:description/>
  <cp:lastModifiedBy>Yash Purbhe</cp:lastModifiedBy>
  <cp:revision>7</cp:revision>
  <dcterms:created xsi:type="dcterms:W3CDTF">2026-06-25T11:07:00Z</dcterms:created>
  <dcterms:modified xsi:type="dcterms:W3CDTF">2026-06-25T14:31:00Z</dcterms:modified>
</cp:coreProperties>
</file>