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C552" w14:textId="77777777" w:rsidR="001E660A" w:rsidRPr="00365A77" w:rsidRDefault="001E660A" w:rsidP="00365A77">
      <w:pPr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A77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5E8E1BAA" w14:textId="39CC6B52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Our organization loses 16.1% of employees annually (237 people), costing ₹2-4 crores in recruitment, training, and lost productivity. This analysis of 1,470 employees identifies root causes and solutions.</w:t>
      </w:r>
    </w:p>
    <w:p w14:paraId="0CC82992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75EF6D39" w14:textId="77777777" w:rsidR="001E660A" w:rsidRPr="00365A77" w:rsidRDefault="001E660A" w:rsidP="00365A77">
      <w:pPr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A77">
        <w:rPr>
          <w:rFonts w:ascii="Times New Roman" w:hAnsi="Times New Roman" w:cs="Times New Roman"/>
          <w:b/>
          <w:bCs/>
          <w:sz w:val="24"/>
          <w:szCs w:val="24"/>
        </w:rPr>
        <w:t>THREE KEY FACTORS DRIVING DEPARTURES</w:t>
      </w:r>
    </w:p>
    <w:p w14:paraId="7D3E23D5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53F19398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1. SALARY DISPARITY</w:t>
      </w:r>
    </w:p>
    <w:p w14:paraId="18609200" w14:textId="4EBE5A42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Employees who leave earn ₹4,787/month; those who stay earn ₹6,833/month. The ₹2,046 gap (30% difference) shows salary below ₹5,500/month dramatically increases resignation risk. Action: Conduct salary benchmarking audit.</w:t>
      </w:r>
    </w:p>
    <w:p w14:paraId="4BCDCB7D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31044ACF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2. FIRST-YEAR ONBOARDING (CRITICAL)</w:t>
      </w:r>
    </w:p>
    <w:p w14:paraId="7E45674C" w14:textId="3D0004B3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36% of new employees leave within their first year, then retention improves significantly. This indicates weak onboarding and mentoring. Action: Implement structured First-Year Success Program with regular check-ins.</w:t>
      </w:r>
    </w:p>
    <w:p w14:paraId="4798D674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4D68061E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3. WORK-LIFE BALANCE</w:t>
      </w:r>
    </w:p>
    <w:p w14:paraId="11DA243D" w14:textId="44C118A0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 xml:space="preserve">Employees rating balance as "poor" leave at 31% vs 18% for those rating it "good". Chronic overtime and inflexible schedules are strong departure drivers. </w:t>
      </w:r>
    </w:p>
    <w:p w14:paraId="78ACF659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Action: Implement flexible work policies and remote work options.</w:t>
      </w:r>
    </w:p>
    <w:p w14:paraId="7CA1DAA6" w14:textId="4318917E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HIGH-RISK DEPARTMENT: Sales (20.6% attrition), particularly Sales Representatives (39.8% exit rate).</w:t>
      </w:r>
    </w:p>
    <w:p w14:paraId="684DFB6D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12B37ECF" w14:textId="77777777" w:rsidR="001E660A" w:rsidRPr="00365A77" w:rsidRDefault="001E660A" w:rsidP="00365A77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65A77">
        <w:rPr>
          <w:rFonts w:ascii="Times New Roman" w:hAnsi="Times New Roman" w:cs="Times New Roman"/>
          <w:b/>
          <w:bCs/>
        </w:rPr>
        <w:t>TWO RECOMMENDATIONS</w:t>
      </w:r>
    </w:p>
    <w:p w14:paraId="0B14887E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2DC51394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INITIATIVE 1: First-Year Success Program</w:t>
      </w:r>
    </w:p>
    <w:p w14:paraId="7C8CEB61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Cost: ₹50,000 per employee</w:t>
      </w:r>
    </w:p>
    <w:p w14:paraId="452EE78B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Expected result: 50% reduction in first-year attrition</w:t>
      </w:r>
    </w:p>
    <w:p w14:paraId="33758A5A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Timeline: 6-8 weeks</w:t>
      </w:r>
    </w:p>
    <w:p w14:paraId="3F4963C8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Includes: Mentoring, career discussions, regular check-ins at weeks 2, 6, 12</w:t>
      </w:r>
    </w:p>
    <w:p w14:paraId="7D85B543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ROI: 4:1 (save ₹2,00,000 per retained employee)</w:t>
      </w:r>
    </w:p>
    <w:p w14:paraId="0D87C1BB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2C1FD61C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INITIATIVE 2: Work-Life Balance &amp; Flexibility Policy</w:t>
      </w:r>
    </w:p>
    <w:p w14:paraId="5C65CC55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Cost: Low (policy changes, minimal infrastructure)</w:t>
      </w:r>
    </w:p>
    <w:p w14:paraId="485CC2C1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Expected result: 10-15% attrition reduction</w:t>
      </w:r>
    </w:p>
    <w:p w14:paraId="29A832D7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Timeline: 4-8 weeks</w:t>
      </w:r>
    </w:p>
    <w:p w14:paraId="34B33BF2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Includes: Flexible hours, 2 days/week remote work, wellness days</w:t>
      </w:r>
    </w:p>
    <w:p w14:paraId="5B0F8496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- Savings: ₹5-8 lakhs per 1,000 employees annually</w:t>
      </w:r>
    </w:p>
    <w:p w14:paraId="7D5E47E1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24F87754" w14:textId="77777777" w:rsidR="001E660A" w:rsidRPr="00365A77" w:rsidRDefault="001E660A" w:rsidP="00365A77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65A77">
        <w:rPr>
          <w:rFonts w:ascii="Times New Roman" w:hAnsi="Times New Roman" w:cs="Times New Roman"/>
          <w:b/>
          <w:bCs/>
        </w:rPr>
        <w:t>FINANCIAL IMPACT</w:t>
      </w:r>
    </w:p>
    <w:p w14:paraId="6B069D44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Total investment: ₹50-80 lakhs</w:t>
      </w:r>
    </w:p>
    <w:p w14:paraId="77CC2C0A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Annual savings: ₹2-4 crores</w:t>
      </w:r>
    </w:p>
    <w:p w14:paraId="6EC28307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Payback period: 2-3 months</w:t>
      </w:r>
    </w:p>
    <w:p w14:paraId="37298613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Expected attrition reduction: 16.1% → 10-11% within 6 months</w:t>
      </w:r>
    </w:p>
    <w:p w14:paraId="4F095B59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35023402" w14:textId="77777777" w:rsidR="001E660A" w:rsidRPr="00365A77" w:rsidRDefault="001E660A" w:rsidP="00365A77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65A77">
        <w:rPr>
          <w:rFonts w:ascii="Times New Roman" w:hAnsi="Times New Roman" w:cs="Times New Roman"/>
          <w:b/>
          <w:bCs/>
        </w:rPr>
        <w:t>IMPORTANT NOTE</w:t>
      </w:r>
    </w:p>
    <w:p w14:paraId="566C293F" w14:textId="2D734D4F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Salary alone doesn't explain attrition. Data shows salary explains 35%, while work-life balance and career growth explain 65%. A well-paid employee in a stressful role still leaves. We must address all three factors together.</w:t>
      </w:r>
    </w:p>
    <w:p w14:paraId="0E773BB8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0F3AAF8E" w14:textId="77777777" w:rsidR="001E660A" w:rsidRPr="00365A77" w:rsidRDefault="001E660A" w:rsidP="00365A77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65A77">
        <w:rPr>
          <w:rFonts w:ascii="Times New Roman" w:hAnsi="Times New Roman" w:cs="Times New Roman"/>
          <w:b/>
          <w:bCs/>
        </w:rPr>
        <w:lastRenderedPageBreak/>
        <w:t>CONCLUSION</w:t>
      </w:r>
    </w:p>
    <w:p w14:paraId="4C9CB697" w14:textId="5267D4F3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>I recommend immediate implementation of both initiatives. This is both a people-focused strategy and a financially sound business decision that can reduce attrition from 16% to 10% within 6 months and save ₹2-4 crores annually.</w:t>
      </w:r>
    </w:p>
    <w:p w14:paraId="33158D3B" w14:textId="77777777" w:rsid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</w:p>
    <w:p w14:paraId="45E6E43C" w14:textId="77777777" w:rsidR="00907199" w:rsidRPr="001E660A" w:rsidRDefault="00907199" w:rsidP="00365A77">
      <w:pPr>
        <w:contextualSpacing/>
        <w:jc w:val="both"/>
        <w:rPr>
          <w:rFonts w:ascii="Times New Roman" w:hAnsi="Times New Roman" w:cs="Times New Roman"/>
        </w:rPr>
      </w:pPr>
    </w:p>
    <w:p w14:paraId="681A2CBC" w14:textId="77777777" w:rsidR="001E660A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r w:rsidRPr="001E660A">
        <w:rPr>
          <w:rFonts w:ascii="Times New Roman" w:hAnsi="Times New Roman" w:cs="Times New Roman"/>
        </w:rPr>
        <w:t xml:space="preserve">Prepared by: Yash </w:t>
      </w:r>
      <w:r w:rsidRPr="001E660A">
        <w:rPr>
          <w:rFonts w:ascii="Times New Roman" w:hAnsi="Times New Roman" w:cs="Times New Roman"/>
        </w:rPr>
        <w:t>Purbhe</w:t>
      </w:r>
    </w:p>
    <w:p w14:paraId="37785137" w14:textId="4F330595" w:rsidR="004E64C5" w:rsidRPr="001E660A" w:rsidRDefault="001E660A" w:rsidP="00365A77">
      <w:pPr>
        <w:contextualSpacing/>
        <w:jc w:val="both"/>
        <w:rPr>
          <w:rFonts w:ascii="Times New Roman" w:hAnsi="Times New Roman" w:cs="Times New Roman"/>
        </w:rPr>
      </w:pPr>
      <w:proofErr w:type="spellStart"/>
      <w:r w:rsidRPr="001E660A">
        <w:rPr>
          <w:rFonts w:ascii="Times New Roman" w:hAnsi="Times New Roman" w:cs="Times New Roman"/>
        </w:rPr>
        <w:t>XYlofy</w:t>
      </w:r>
      <w:proofErr w:type="spellEnd"/>
      <w:r w:rsidRPr="001E660A">
        <w:rPr>
          <w:rFonts w:ascii="Times New Roman" w:hAnsi="Times New Roman" w:cs="Times New Roman"/>
        </w:rPr>
        <w:t xml:space="preserve"> AI Internship Project - Week 2</w:t>
      </w:r>
    </w:p>
    <w:sectPr w:rsidR="004E64C5" w:rsidRPr="001E660A" w:rsidSect="00ED6746">
      <w:headerReference w:type="first" r:id="rId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569E1" w14:textId="77777777" w:rsidR="00410794" w:rsidRDefault="00410794" w:rsidP="00ED6746">
      <w:pPr>
        <w:spacing w:after="0" w:line="240" w:lineRule="auto"/>
      </w:pPr>
      <w:r>
        <w:separator/>
      </w:r>
    </w:p>
  </w:endnote>
  <w:endnote w:type="continuationSeparator" w:id="0">
    <w:p w14:paraId="0B0345E7" w14:textId="77777777" w:rsidR="00410794" w:rsidRDefault="00410794" w:rsidP="00ED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A280" w14:textId="77777777" w:rsidR="00410794" w:rsidRDefault="00410794" w:rsidP="00ED6746">
      <w:pPr>
        <w:spacing w:after="0" w:line="240" w:lineRule="auto"/>
      </w:pPr>
      <w:r>
        <w:separator/>
      </w:r>
    </w:p>
  </w:footnote>
  <w:footnote w:type="continuationSeparator" w:id="0">
    <w:p w14:paraId="399C9A1F" w14:textId="77777777" w:rsidR="00410794" w:rsidRDefault="00410794" w:rsidP="00ED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B423" w14:textId="77777777" w:rsidR="00ED6746" w:rsidRPr="00143CF2" w:rsidRDefault="00ED6746" w:rsidP="00ED6746">
    <w:pPr>
      <w:contextualSpacing/>
      <w:jc w:val="center"/>
      <w:rPr>
        <w:rFonts w:ascii="Times New Roman" w:hAnsi="Times New Roman" w:cs="Times New Roman"/>
        <w:sz w:val="24"/>
        <w:szCs w:val="24"/>
      </w:rPr>
    </w:pPr>
    <w:r w:rsidRPr="00143CF2">
      <w:rPr>
        <w:rFonts w:ascii="Times New Roman" w:hAnsi="Times New Roman" w:cs="Times New Roman"/>
        <w:sz w:val="24"/>
        <w:szCs w:val="24"/>
      </w:rPr>
      <w:t>EMPLOYEE ATTRITION ANALYSIS &amp; RECOMMENDATIONS</w:t>
    </w:r>
  </w:p>
  <w:p w14:paraId="0494DA1E" w14:textId="5C1A6E81" w:rsidR="00ED6746" w:rsidRPr="00ED6746" w:rsidRDefault="00ED6746" w:rsidP="00ED6746">
    <w:pPr>
      <w:contextualSpacing/>
      <w:jc w:val="center"/>
      <w:rPr>
        <w:rFonts w:ascii="Times New Roman" w:hAnsi="Times New Roman" w:cs="Times New Roman"/>
        <w:sz w:val="24"/>
        <w:szCs w:val="24"/>
      </w:rPr>
    </w:pPr>
    <w:r w:rsidRPr="00143CF2">
      <w:rPr>
        <w:rFonts w:ascii="Times New Roman" w:hAnsi="Times New Roman" w:cs="Times New Roman"/>
        <w:sz w:val="24"/>
        <w:szCs w:val="24"/>
      </w:rPr>
      <w:t>Executive Summary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85"/>
    <w:rsid w:val="00143CF2"/>
    <w:rsid w:val="001E660A"/>
    <w:rsid w:val="00321CD6"/>
    <w:rsid w:val="00365A77"/>
    <w:rsid w:val="003A0C3B"/>
    <w:rsid w:val="003B5799"/>
    <w:rsid w:val="00410794"/>
    <w:rsid w:val="004E64C5"/>
    <w:rsid w:val="006307D3"/>
    <w:rsid w:val="006C460D"/>
    <w:rsid w:val="007B4BF7"/>
    <w:rsid w:val="008A6DF1"/>
    <w:rsid w:val="00907199"/>
    <w:rsid w:val="00A46D1E"/>
    <w:rsid w:val="00A57D65"/>
    <w:rsid w:val="00B11DED"/>
    <w:rsid w:val="00DA4D85"/>
    <w:rsid w:val="00E72359"/>
    <w:rsid w:val="00E927D4"/>
    <w:rsid w:val="00ED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80C9"/>
  <w15:chartTrackingRefBased/>
  <w15:docId w15:val="{47CE3234-3230-48A4-8D19-506675C4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746"/>
  </w:style>
  <w:style w:type="paragraph" w:styleId="Footer">
    <w:name w:val="footer"/>
    <w:basedOn w:val="Normal"/>
    <w:link w:val="FooterChar"/>
    <w:uiPriority w:val="99"/>
    <w:unhideWhenUsed/>
    <w:rsid w:val="00ED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Purbhe</dc:creator>
  <cp:keywords/>
  <dc:description/>
  <cp:lastModifiedBy>Yash Purbhe</cp:lastModifiedBy>
  <cp:revision>13</cp:revision>
  <dcterms:created xsi:type="dcterms:W3CDTF">2026-06-25T11:07:00Z</dcterms:created>
  <dcterms:modified xsi:type="dcterms:W3CDTF">2026-06-25T15:00:00Z</dcterms:modified>
</cp:coreProperties>
</file>