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Critical Design Thinking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Q] Use DT Techniques (Empathy map) to identify Top 3 problems of the problem selected in assignment 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8"/>
          <w:szCs w:val="38"/>
          <w:u w:val="single"/>
          <w:shd w:fill="auto" w:val="clear"/>
          <w:vertAlign w:val="baseline"/>
          <w:rtl w:val="0"/>
        </w:rPr>
        <w:t xml:space="preserve">What is Empathy map?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Empathy is our ability to see the world through other people's eyes.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An empathy map is a collaborative tool teams can use to gain a deeper insight into their customers. Much like a user persona, an empathy map can represent a group of users, such as a customer segment. The empathy map was originally created by Dave Gray and has gained much popularity within the agile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is a collaborative visualization used to articulate what we know about a particular type of user. It externalizes knowledge about users to 1) create a shared understanding of user needs and 2) aid in decision making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b0f0"/>
          <w:sz w:val="38"/>
          <w:szCs w:val="3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00b0f0"/>
          <w:sz w:val="38"/>
          <w:szCs w:val="38"/>
          <w:highlight w:val="white"/>
          <w:u w:val="single"/>
          <w:rtl w:val="0"/>
        </w:rPr>
        <w:t xml:space="preserve">Use of Empathy Map 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Empathy maps can be used whenever you find a need to immerse yourself in a user’s environment. They can be helpful, for example, when: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diving into the customer segments of a business model canvas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elaborating on user personas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capturing behaviours when interviewing a customer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building out the “user” in a user story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b0f0"/>
          <w:sz w:val="38"/>
          <w:szCs w:val="3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280" w:lineRule="auto"/>
        <w:ind w:left="72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What 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32"/>
          <w:szCs w:val="32"/>
          <w:rtl w:val="0"/>
        </w:rPr>
        <w:t xml:space="preserve">gains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might the user experience when using our product?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What are some of the user’s 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32"/>
          <w:szCs w:val="32"/>
          <w:rtl w:val="0"/>
        </w:rPr>
        <w:t xml:space="preserve">pain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points or fears when using our product?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What would the user 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32"/>
          <w:szCs w:val="32"/>
          <w:rtl w:val="0"/>
        </w:rPr>
        <w:t xml:space="preserve">see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while using our product in their environment?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80" w:before="0" w:lineRule="auto"/>
        <w:ind w:left="72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What might the user be 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32"/>
          <w:szCs w:val="32"/>
          <w:rtl w:val="0"/>
        </w:rPr>
        <w:t xml:space="preserve">saying and/or doing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while using our product? How would that change in a public or private setting?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color w:val="00b0f0"/>
          <w:sz w:val="38"/>
          <w:szCs w:val="3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b0f0"/>
          <w:sz w:val="38"/>
          <w:szCs w:val="38"/>
          <w:u w:val="single"/>
          <w:rtl w:val="0"/>
        </w:rPr>
        <w:t xml:space="preserve">Empathy Map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3c4043"/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5731510" cy="7312130"/>
            <wp:effectExtent b="0" l="0" r="0" t="0"/>
            <wp:docPr descr="Timeline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Timeline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color w:val="00b0f0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color w:val="00b0f0"/>
          <w:sz w:val="38"/>
          <w:szCs w:val="38"/>
          <w:rtl w:val="0"/>
        </w:rPr>
        <w:t xml:space="preserve">Top 3 problems identified are as follows: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Sleep deprivation and disturbed eating schedule.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Anxiety issues.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Time wastage.</w:t>
      </w:r>
    </w:p>
    <w:p w:rsidR="00000000" w:rsidDel="00000000" w:rsidP="00000000" w:rsidRDefault="00000000" w:rsidRPr="00000000" w14:paraId="00000029">
      <w:pPr>
        <w:rPr>
          <w:rFonts w:ascii="Abadi" w:cs="Abadi" w:eastAsia="Abadi" w:hAnsi="Abad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badi" w:cs="Abadi" w:eastAsia="Abadi" w:hAnsi="Abad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badi" w:cs="Abadi" w:eastAsia="Abadi" w:hAnsi="Abad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NAME: Yashraj Aware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Roll no: 224</w:t>
      </w:r>
      <w:r w:rsidDel="00000000" w:rsidR="00000000" w:rsidRPr="00000000">
        <w:rPr>
          <w:sz w:val="32"/>
          <w:szCs w:val="32"/>
          <w:rtl w:val="0"/>
        </w:rPr>
        <w:t xml:space="preserve">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TEAM MEMBERS: Aryan Pandita , Anushka Bhagwat, Kaustubh Bhoskar.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CLASS: S.Y. – D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BATCH: D1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bad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