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CONTRACTLENS – GROUND-TRUTH ANNOTATED TEST CONTRACT (SET 2)</w:t>
      </w:r>
    </w:p>
    <w:p>
      <w:pPr>
        <w:spacing w:after="120"/>
        <w:jc w:val="center"/>
      </w:pPr>
      <w:r>
        <w:rPr>
          <w:rFonts w:ascii="Times New Roman" w:cs="Times New Roman" w:eastAsia="Times New Roman" w:hAnsi="Times New Roman"/>
          <w:i/>
          <w:iCs/>
          <w:sz w:val="22"/>
          <w:szCs w:val="22"/>
        </w:rPr>
        <w:t xml:space="preserve">Specimen: Leave and License Agreement, Thane, Maharashtra (fictional parties and identifiers)</w:t>
      </w:r>
    </w:p>
    <w:p>
      <w:pPr>
        <w:spacing w:after="120" w:line="276"/>
        <w:jc w:val="both"/>
      </w:pPr>
      <w:r>
        <w:rPr>
          <w:rFonts w:ascii="Times New Roman" w:cs="Times New Roman" w:eastAsia="Times New Roman" w:hAnsi="Times New Roman"/>
          <w:sz w:val="22"/>
          <w:szCs w:val="22"/>
        </w:rPr>
        <w:t xml:space="preserve">This is the answer-key copy of test contract #2. Every clause is followed by its expected classification and the text that triggers a risk is highlighted. All names, IDs, bank details and numbers are invented for software testing. Labels are one annotator’s expected classification (AI-generated) and must be validated by a practising Maharashtra property lawyer before use as a gold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1500"/>
        <w:gridCol w:w="5160"/>
      </w:tblGrid>
      <w:tr>
        <w:tc>
          <w:tcPr>
            <w:tcW w:type="dxa" w:w="160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Risk tier</w:t>
            </w:r>
          </w:p>
        </w:tc>
        <w:tc>
          <w:tcPr>
            <w:tcW w:type="dxa" w:w="110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Clauses</w:t>
            </w:r>
          </w:p>
        </w:tc>
        <w:tc>
          <w:tcPr>
            <w:tcW w:type="dxa" w:w="150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Deduction</w:t>
            </w:r>
          </w:p>
        </w:tc>
        <w:tc>
          <w:tcPr>
            <w:tcW w:type="dxa" w:w="516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Clause numbers</w:t>
            </w:r>
          </w:p>
        </w:tc>
      </w:tr>
      <w:tr>
        <w:tc>
          <w:tcPr>
            <w:tcW w:type="dxa" w:w="1600"/>
            <w:tcBorders>
              <w:top w:val="single" w:color="000000" w:sz="6"/>
              <w:left w:val="single" w:color="000000" w:sz="6"/>
              <w:bottom w:val="single" w:color="000000" w:sz="6"/>
              <w:right w:val="single" w:color="000000" w:sz="6"/>
            </w:tcBorders>
            <w:shd w:fill="F4B6B6" w:val="clear"/>
            <w:tcMar>
              <w:top w:type="dxa" w:w="60"/>
              <w:left w:type="dxa" w:w="100"/>
              <w:bottom w:type="dxa" w:w="60"/>
              <w:right w:type="dxa" w:w="100"/>
            </w:tcMar>
          </w:tcPr>
          <w:p>
            <w:r>
              <w:rPr>
                <w:rFonts w:ascii="Times New Roman" w:cs="Times New Roman" w:eastAsia="Times New Roman" w:hAnsi="Times New Roman"/>
                <w:b/>
                <w:bCs/>
                <w:sz w:val="20"/>
                <w:szCs w:val="20"/>
              </w:rPr>
              <w:t xml:space="preserve">CRITICAL</w:t>
            </w:r>
          </w:p>
        </w:tc>
        <w:tc>
          <w:tcPr>
            <w:tcW w:type="dxa" w:w="11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-20</w:t>
            </w:r>
          </w:p>
        </w:tc>
        <w:tc>
          <w:tcPr>
            <w:tcW w:type="dxa" w:w="51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11</w:t>
            </w:r>
          </w:p>
        </w:tc>
      </w:tr>
      <w:tr>
        <w:tc>
          <w:tcPr>
            <w:tcW w:type="dxa" w:w="1600"/>
            <w:tcBorders>
              <w:top w:val="single" w:color="000000" w:sz="6"/>
              <w:left w:val="single" w:color="000000" w:sz="6"/>
              <w:bottom w:val="single" w:color="000000" w:sz="6"/>
              <w:right w:val="single" w:color="000000" w:sz="6"/>
            </w:tcBorders>
            <w:shd w:fill="F8D3A8" w:val="clear"/>
            <w:tcMar>
              <w:top w:type="dxa" w:w="60"/>
              <w:left w:type="dxa" w:w="100"/>
              <w:bottom w:type="dxa" w:w="60"/>
              <w:right w:type="dxa" w:w="100"/>
            </w:tcMar>
          </w:tcPr>
          <w:p>
            <w:r>
              <w:rPr>
                <w:rFonts w:ascii="Times New Roman" w:cs="Times New Roman" w:eastAsia="Times New Roman" w:hAnsi="Times New Roman"/>
                <w:b/>
                <w:bCs/>
                <w:sz w:val="20"/>
                <w:szCs w:val="20"/>
              </w:rPr>
              <w:t xml:space="preserve">HIGH</w:t>
            </w:r>
          </w:p>
        </w:tc>
        <w:tc>
          <w:tcPr>
            <w:tcW w:type="dxa" w:w="11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3</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-30</w:t>
            </w:r>
          </w:p>
        </w:tc>
        <w:tc>
          <w:tcPr>
            <w:tcW w:type="dxa" w:w="51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4, 9, 26</w:t>
            </w:r>
          </w:p>
        </w:tc>
      </w:tr>
      <w:tr>
        <w:tc>
          <w:tcPr>
            <w:tcW w:type="dxa" w:w="1600"/>
            <w:tcBorders>
              <w:top w:val="single" w:color="000000" w:sz="6"/>
              <w:left w:val="single" w:color="000000" w:sz="6"/>
              <w:bottom w:val="single" w:color="000000" w:sz="6"/>
              <w:right w:val="single" w:color="000000" w:sz="6"/>
            </w:tcBorders>
            <w:shd w:fill="FFF2A8" w:val="clear"/>
            <w:tcMar>
              <w:top w:type="dxa" w:w="60"/>
              <w:left w:type="dxa" w:w="100"/>
              <w:bottom w:type="dxa" w:w="60"/>
              <w:right w:type="dxa" w:w="100"/>
            </w:tcMar>
          </w:tcPr>
          <w:p>
            <w:r>
              <w:rPr>
                <w:rFonts w:ascii="Times New Roman" w:cs="Times New Roman" w:eastAsia="Times New Roman" w:hAnsi="Times New Roman"/>
                <w:b/>
                <w:bCs/>
                <w:sz w:val="20"/>
                <w:szCs w:val="20"/>
              </w:rPr>
              <w:t xml:space="preserve">MEDIUM</w:t>
            </w:r>
          </w:p>
        </w:tc>
        <w:tc>
          <w:tcPr>
            <w:tcW w:type="dxa" w:w="11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-16</w:t>
            </w:r>
          </w:p>
        </w:tc>
        <w:tc>
          <w:tcPr>
            <w:tcW w:type="dxa" w:w="51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5, 8, 16, 24</w:t>
            </w:r>
          </w:p>
        </w:tc>
      </w:tr>
      <w:tr>
        <w:tc>
          <w:tcPr>
            <w:tcW w:type="dxa" w:w="1600"/>
            <w:tcBorders>
              <w:top w:val="single" w:color="000000" w:sz="6"/>
              <w:left w:val="single" w:color="000000" w:sz="6"/>
              <w:bottom w:val="single" w:color="000000" w:sz="6"/>
              <w:right w:val="single" w:color="000000" w:sz="6"/>
            </w:tcBorders>
            <w:shd w:fill="CFE8CF" w:val="clear"/>
            <w:tcMar>
              <w:top w:type="dxa" w:w="60"/>
              <w:left w:type="dxa" w:w="100"/>
              <w:bottom w:type="dxa" w:w="60"/>
              <w:right w:type="dxa" w:w="100"/>
            </w:tcMar>
          </w:tcPr>
          <w:p>
            <w:r>
              <w:rPr>
                <w:rFonts w:ascii="Times New Roman" w:cs="Times New Roman" w:eastAsia="Times New Roman" w:hAnsi="Times New Roman"/>
                <w:b/>
                <w:bCs/>
                <w:sz w:val="20"/>
                <w:szCs w:val="20"/>
              </w:rPr>
              <w:t xml:space="preserve">LOW</w:t>
            </w:r>
          </w:p>
        </w:tc>
        <w:tc>
          <w:tcPr>
            <w:tcW w:type="dxa" w:w="11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21</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w:t>
            </w:r>
          </w:p>
        </w:tc>
        <w:tc>
          <w:tcPr>
            <w:tcW w:type="dxa" w:w="51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1, 2, 3, 6, 7, 10, 12, 13, 14, 15, 17, 18, 19, 20, 21, 22, 23, 25, 27, 28, 29</w:t>
            </w:r>
          </w:p>
        </w:tc>
      </w:tr>
    </w:tbl>
    <w:p>
      <w:pPr>
        <w:spacing w:after="120" w:before="160"/>
      </w:pPr>
      <w:r>
        <w:rPr>
          <w:rFonts w:ascii="Times New Roman" w:cs="Times New Roman" w:eastAsia="Times New Roman" w:hAnsi="Times New Roman"/>
          <w:b/>
          <w:bCs/>
          <w:sz w:val="22"/>
          <w:szCs w:val="22"/>
        </w:rPr>
        <w:t xml:space="preserve">Expected Contract Health Score = max(10, 100 − 66) = 34</w:t>
      </w:r>
    </w:p>
    <w:p>
      <w:pPr>
        <w:spacing w:after="80" w:before="120"/>
      </w:pPr>
      <w:r>
        <w:rPr>
          <w:rFonts w:ascii="Times New Roman" w:cs="Times New Roman" w:eastAsia="Times New Roman" w:hAnsi="Times New Roman"/>
          <w:b/>
          <w:bCs/>
          <w:sz w:val="22"/>
          <w:szCs w:val="22"/>
        </w:rPr>
        <w:t xml:space="preserve">Expected missing-clause findings:</w:t>
      </w:r>
    </w:p>
    <w:p>
      <w:pPr>
        <w:spacing w:after="60"/>
        <w:ind w:left="360"/>
      </w:pPr>
      <w:r>
        <w:rPr>
          <w:rFonts w:ascii="Times New Roman" w:cs="Times New Roman" w:eastAsia="Times New Roman" w:hAnsi="Times New Roman"/>
          <w:sz w:val="21"/>
          <w:szCs w:val="21"/>
        </w:rPr>
        <w:t xml:space="preserve">1. No clause on sale / transfer of the flat or death / incapacity of the Licensor during the License Period (whether the licence survives and who refunds the deposit)</w:t>
      </w:r>
    </w:p>
    <w:p>
      <w:pPr>
        <w:spacing w:after="60"/>
        <w:ind w:left="360"/>
      </w:pPr>
      <w:r>
        <w:rPr>
          <w:rFonts w:ascii="Times New Roman" w:cs="Times New Roman" w:eastAsia="Times New Roman" w:hAnsi="Times New Roman"/>
          <w:sz w:val="21"/>
          <w:szCs w:val="21"/>
        </w:rPr>
        <w:t xml:space="preserve">2. No insurance / fire-safety clause (building or contents cover; responsibility for loss of Licensees’ belongings)</w:t>
      </w:r>
    </w:p>
    <w:p>
      <w:pPr>
        <w:spacing w:after="60"/>
        <w:ind w:left="360"/>
      </w:pPr>
      <w:r>
        <w:rPr>
          <w:rFonts w:ascii="Times New Roman" w:cs="Times New Roman" w:eastAsia="Times New Roman" w:hAnsi="Times New Roman"/>
          <w:sz w:val="21"/>
          <w:szCs w:val="21"/>
        </w:rPr>
        <w:t xml:space="preserve">3. No rent abatement or repair-deadline remedy for prolonged loss of water, lift or habitability (other than the 30-day force-majeure exit)</w:t>
      </w:r>
    </w:p>
    <w:p>
      <w:pPr>
        <w:spacing w:after="60"/>
        <w:ind w:left="360"/>
      </w:pPr>
      <w:r>
        <w:rPr>
          <w:rFonts w:ascii="Times New Roman" w:cs="Times New Roman" w:eastAsia="Times New Roman" w:hAnsi="Times New Roman"/>
          <w:sz w:val="21"/>
          <w:szCs w:val="21"/>
        </w:rPr>
        <w:t xml:space="preserve">4. No interest on delayed refund of the Security Deposit by the Licensor (interest runs only against the Licensees under Clause 6)</w:t>
      </w:r>
    </w:p>
    <w:p>
      <w:pPr>
        <w:spacing w:after="60"/>
        <w:ind w:left="360"/>
      </w:pPr>
      <w:r>
        <w:rPr>
          <w:rFonts w:ascii="Times New Roman" w:cs="Times New Roman" w:eastAsia="Times New Roman" w:hAnsi="Times New Roman"/>
          <w:sz w:val="21"/>
          <w:szCs w:val="21"/>
        </w:rPr>
        <w:t xml:space="preserve">5. No move-in condition report with photographs signed by both parties (Annexure A lists items and condition only in brief)</w:t>
      </w:r>
    </w:p>
    <w:p>
      <w:pPr>
        <w:spacing w:after="80" w:before="120"/>
      </w:pPr>
      <w:r>
        <w:rPr>
          <w:rFonts w:ascii="Times New Roman" w:cs="Times New Roman" w:eastAsia="Times New Roman" w:hAnsi="Times New Roman"/>
          <w:b/>
          <w:bCs/>
          <w:sz w:val="22"/>
          <w:szCs w:val="22"/>
        </w:rPr>
        <w:t xml:space="preserve">Known internal conflicts:</w:t>
      </w:r>
    </w:p>
    <w:p>
      <w:pPr>
        <w:spacing w:after="60"/>
        <w:ind w:left="360"/>
      </w:pPr>
      <w:r>
        <w:rPr>
          <w:rFonts w:ascii="Times New Roman" w:cs="Times New Roman" w:eastAsia="Times New Roman" w:hAnsi="Times New Roman"/>
          <w:sz w:val="21"/>
          <w:szCs w:val="21"/>
        </w:rPr>
        <w:t xml:space="preserve">1. Clause 3.3 (License Fee fixed for the whole period) vs Clause 4 (Licensor may revise the fee upward at any time).</w:t>
      </w:r>
    </w:p>
    <w:p>
      <w:pPr>
        <w:spacing w:after="60"/>
        <w:ind w:left="360"/>
      </w:pPr>
      <w:r>
        <w:rPr>
          <w:rFonts w:ascii="Times New Roman" w:cs="Times New Roman" w:eastAsia="Times New Roman" w:hAnsi="Times New Roman"/>
          <w:sz w:val="21"/>
          <w:szCs w:val="21"/>
        </w:rPr>
        <w:t xml:space="preserve">2. Clause 10.1 (15-day notice-and-cure before termination) vs Clause 11.1 (re-entry after 3 days, without notice).</w:t>
      </w:r>
    </w:p>
    <w:p>
      <w:pPr>
        <w:spacing w:after="60"/>
        <w:ind w:left="360"/>
      </w:pPr>
      <w:r>
        <w:rPr>
          <w:rFonts w:ascii="Times New Roman" w:cs="Times New Roman" w:eastAsia="Times New Roman" w:hAnsi="Times New Roman"/>
          <w:sz w:val="21"/>
          <w:szCs w:val="21"/>
        </w:rPr>
        <w:t xml:space="preserve">3. Clause 9.2 (Licensee exit penalised “for any reason whatsoever”) vs Clause 10.2 and Clause 25.2 (Licensee may exit without liability for Licensor breach / uninhabitability).</w:t>
      </w:r>
    </w:p>
    <w:p>
      <w:pPr>
        <w:spacing w:after="60"/>
        <w:ind w:left="360"/>
      </w:pPr>
      <w:r>
        <w:rPr>
          <w:rFonts w:ascii="Times New Roman" w:cs="Times New Roman" w:eastAsia="Times New Roman" w:hAnsi="Times New Roman"/>
          <w:sz w:val="21"/>
          <w:szCs w:val="21"/>
        </w:rPr>
        <w:t xml:space="preserve">4. Clause 11.1 (entry without notice) vs Clause 17.1 (entry only on 48 hours’ notice, once a month) and Clause 20.2 (no interference by the Licensor).</w:t>
      </w:r>
    </w:p>
    <w:p>
      <w:pPr>
        <w:spacing w:after="80" w:before="120"/>
      </w:pPr>
      <w:r>
        <w:rPr>
          <w:rFonts w:ascii="Times New Roman" w:cs="Times New Roman" w:eastAsia="Times New Roman" w:hAnsi="Times New Roman"/>
          <w:b/>
          <w:bCs/>
          <w:sz w:val="22"/>
          <w:szCs w:val="22"/>
        </w:rPr>
        <w:t xml:space="preserve">Borderline / judgement clauses:</w:t>
      </w:r>
    </w:p>
    <w:p>
      <w:pPr>
        <w:spacing w:after="60"/>
        <w:ind w:left="360"/>
      </w:pPr>
      <w:r>
        <w:rPr>
          <w:rFonts w:ascii="Times New Roman" w:cs="Times New Roman" w:eastAsia="Times New Roman" w:hAnsi="Times New Roman"/>
          <w:sz w:val="21"/>
          <w:szCs w:val="21"/>
        </w:rPr>
        <w:t xml:space="preserve">1. Clause 6 (18% p.a. interest) – upper end of normal; expected LOW, a MEDIUM prediction is acceptable.</w:t>
      </w:r>
    </w:p>
    <w:p>
      <w:pPr>
        <w:spacing w:after="60"/>
        <w:ind w:left="360"/>
      </w:pPr>
      <w:r>
        <w:rPr>
          <w:rFonts w:ascii="Times New Roman" w:cs="Times New Roman" w:eastAsia="Times New Roman" w:hAnsi="Times New Roman"/>
          <w:sz w:val="21"/>
          <w:szCs w:val="21"/>
        </w:rPr>
        <w:t xml:space="preserve">2. Clause 7 (6-month deposit) – high but market practice; expected LOW.</w:t>
      </w:r>
    </w:p>
    <w:p>
      <w:pPr>
        <w:spacing w:after="60"/>
        <w:ind w:left="360"/>
      </w:pPr>
      <w:r>
        <w:rPr>
          <w:rFonts w:ascii="Times New Roman" w:cs="Times New Roman" w:eastAsia="Times New Roman" w:hAnsi="Times New Roman"/>
          <w:sz w:val="21"/>
          <w:szCs w:val="21"/>
        </w:rPr>
        <w:t xml:space="preserve">3. Clause 16 (dietary restriction) – expected MEDIUM; a HIGH prediction is acceptable.</w:t>
      </w:r>
    </w:p>
    <w:p>
      <w:pPr>
        <w:spacing w:after="60"/>
        <w:ind w:left="360"/>
      </w:pPr>
      <w:r>
        <w:rPr>
          <w:rFonts w:ascii="Times New Roman" w:cs="Times New Roman" w:eastAsia="Times New Roman" w:hAnsi="Times New Roman"/>
          <w:sz w:val="21"/>
          <w:szCs w:val="21"/>
        </w:rPr>
        <w:t xml:space="preserve">4. Clause 22 (Licensee bears stamp duty) – expected LOW; a MEDIUM prediction is not a hard failure.</w:t>
      </w: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120"/>
              <w:jc w:val="center"/>
            </w:pPr>
            <w:r>
              <w:rPr>
                <w:rFonts w:ascii="Times New Roman" w:cs="Times New Roman" w:eastAsia="Times New Roman" w:hAnsi="Times New Roman"/>
                <w:b/>
                <w:bCs/>
                <w:sz w:val="20"/>
                <w:szCs w:val="20"/>
              </w:rPr>
              <w:t xml:space="preserve">MAHARASHTRA e-STAMP / FRANKING</w:t>
            </w:r>
          </w:p>
          <w:p>
            <w:pPr>
              <w:spacing w:after="120"/>
              <w:jc w:val="center"/>
            </w:pPr>
            <w:r>
              <w:rPr>
                <w:rFonts w:ascii="Times New Roman" w:cs="Times New Roman" w:eastAsia="Times New Roman" w:hAnsi="Times New Roman"/>
                <w:sz w:val="18"/>
                <w:szCs w:val="18"/>
              </w:rPr>
              <w:t xml:space="preserve">Certificate No.: IN-MH61394820175306X   |   Stamp Duty paid: Rs. 1,200/-   |   Registration Fee: Rs. 1,000/-</w:t>
            </w:r>
          </w:p>
          <w:p>
            <w:pPr>
              <w:spacing w:after="120"/>
              <w:jc w:val="center"/>
            </w:pPr>
            <w:r>
              <w:rPr>
                <w:rFonts w:ascii="Times New Roman" w:cs="Times New Roman" w:eastAsia="Times New Roman" w:hAnsi="Times New Roman"/>
                <w:sz w:val="18"/>
                <w:szCs w:val="18"/>
              </w:rPr>
              <w:t xml:space="preserve">Description of Document: Article 36(a) – Leave and License   |   Purchased by: Arjun Suresh Nair</w:t>
            </w:r>
          </w:p>
        </w:tc>
      </w:tr>
    </w:tbl>
    <w:p>
      <w:pPr>
        <w:spacing w:after="200"/>
      </w:pPr>
    </w:p>
    <w:p>
      <w:pPr>
        <w:spacing w:after="120"/>
        <w:jc w:val="center"/>
      </w:pPr>
      <w:r>
        <w:rPr>
          <w:rFonts w:ascii="Times New Roman" w:cs="Times New Roman" w:eastAsia="Times New Roman" w:hAnsi="Times New Roman"/>
          <w:b/>
          <w:bCs/>
          <w:sz w:val="30"/>
          <w:szCs w:val="30"/>
          <w:u w:val="single"/>
        </w:rPr>
        <w:t xml:space="preserve">LEAVE AND LICENSE AGREEMENT</w:t>
      </w:r>
    </w:p>
    <w:p>
      <w:pPr>
        <w:spacing w:after="120" w:line="276"/>
        <w:jc w:val="both"/>
      </w:pPr>
      <w:r>
        <w:rPr>
          <w:rFonts w:ascii="Times New Roman" w:cs="Times New Roman" w:eastAsia="Times New Roman" w:hAnsi="Times New Roman"/>
          <w:sz w:val="22"/>
          <w:szCs w:val="22"/>
        </w:rPr>
        <w:t xml:space="preserve">This LEAVE AND LICENSE AGREEMENT (hereinafter referred to as the "Agreement") is made and executed at Thane on this 24th day of December 2026 (Two Thousand Twenty-Six)</w:t>
      </w:r>
    </w:p>
    <w:p>
      <w:pPr>
        <w:spacing w:after="120"/>
        <w:jc w:val="center"/>
      </w:pPr>
      <w:r>
        <w:rPr>
          <w:rFonts w:ascii="Times New Roman" w:cs="Times New Roman" w:eastAsia="Times New Roman" w:hAnsi="Times New Roman"/>
          <w:b/>
          <w:bCs/>
          <w:sz w:val="22"/>
          <w:szCs w:val="22"/>
        </w:rPr>
        <w:t xml:space="preserve">BETWEEN</w:t>
      </w:r>
    </w:p>
    <w:p>
      <w:pPr>
        <w:spacing w:after="120" w:line="276"/>
        <w:jc w:val="both"/>
      </w:pPr>
      <w:r>
        <w:rPr>
          <w:rFonts w:ascii="Times New Roman" w:cs="Times New Roman" w:eastAsia="Times New Roman" w:hAnsi="Times New Roman"/>
          <w:b/>
          <w:bCs/>
          <w:sz w:val="22"/>
          <w:szCs w:val="22"/>
        </w:rPr>
        <w:t xml:space="preserve">DR. ANAND SHANKAR BAPAT</w:t>
      </w:r>
      <w:r>
        <w:rPr>
          <w:rFonts w:ascii="Times New Roman" w:cs="Times New Roman" w:eastAsia="Times New Roman" w:hAnsi="Times New Roman"/>
          <w:sz w:val="22"/>
          <w:szCs w:val="22"/>
        </w:rPr>
        <w:t xml:space="preserve">, aged about 58 years, Indian Inhabitant (Non-Resident Indian), Occupation: Physician, holding PAN No. AFBPB5612M and Indian Passport No. Z9876543, residing at Apartment 2106, Marina Pinnacle, Dubai Marina, Dubai, UAE, Mobile (UAE): +971 50 123 4567, Email: anand.bapat@examplemail.com, acting through his constituted attorney </w:t>
      </w:r>
      <w:r>
        <w:rPr>
          <w:rFonts w:ascii="Times New Roman" w:cs="Times New Roman" w:eastAsia="Times New Roman" w:hAnsi="Times New Roman"/>
          <w:b/>
          <w:bCs/>
          <w:sz w:val="22"/>
          <w:szCs w:val="22"/>
        </w:rPr>
        <w:t xml:space="preserve">MR. NILESH RAMCHANDRA GAWDE</w:t>
      </w:r>
      <w:r>
        <w:rPr>
          <w:rFonts w:ascii="Times New Roman" w:cs="Times New Roman" w:eastAsia="Times New Roman" w:hAnsi="Times New Roman"/>
          <w:sz w:val="22"/>
          <w:szCs w:val="22"/>
        </w:rPr>
        <w:t xml:space="preserve">, aged about 45 years, holding PAN No. CMXPG2048H and Aadhaar No. 5073 8896 2214, residing at 5, Vrindavan Society, Naupada, Thane 400602, Mobile No. +91 98201 55667, Email: nilesh.gawde@examplemail.com (the "Attorney"), under Power of Attorney registered on 12th March 2024, hereinafter referred to as the </w:t>
      </w:r>
      <w:r>
        <w:rPr>
          <w:rFonts w:ascii="Times New Roman" w:cs="Times New Roman" w:eastAsia="Times New Roman" w:hAnsi="Times New Roman"/>
          <w:b/>
          <w:bCs/>
          <w:sz w:val="22"/>
          <w:szCs w:val="22"/>
        </w:rPr>
        <w:t xml:space="preserve">"LICENSOR"</w:t>
      </w:r>
      <w:r>
        <w:rPr>
          <w:rFonts w:ascii="Times New Roman" w:cs="Times New Roman" w:eastAsia="Times New Roman" w:hAnsi="Times New Roman"/>
          <w:sz w:val="22"/>
          <w:szCs w:val="22"/>
        </w:rPr>
        <w:t xml:space="preserve"> (which expression shall, unless repugnant to the context, include his heirs, executors, administrators, attorneys and assigns) of the ONE PART;</w:t>
      </w:r>
    </w:p>
    <w:p>
      <w:pPr>
        <w:spacing w:after="120"/>
        <w:jc w:val="center"/>
      </w:pPr>
      <w:r>
        <w:rPr>
          <w:rFonts w:ascii="Times New Roman" w:cs="Times New Roman" w:eastAsia="Times New Roman" w:hAnsi="Times New Roman"/>
          <w:b/>
          <w:bCs/>
          <w:sz w:val="22"/>
          <w:szCs w:val="22"/>
        </w:rPr>
        <w:t xml:space="preserve">AND</w:t>
      </w:r>
    </w:p>
    <w:p>
      <w:pPr>
        <w:spacing w:after="120" w:line="276"/>
        <w:jc w:val="both"/>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MR. ARJUN SURESH NAIR</w:t>
      </w:r>
      <w:r>
        <w:rPr>
          <w:rFonts w:ascii="Times New Roman" w:cs="Times New Roman" w:eastAsia="Times New Roman" w:hAnsi="Times New Roman"/>
          <w:b w:val="false"/>
          <w:bCs w:val="false"/>
          <w:sz w:val="22"/>
          <w:szCs w:val="22"/>
        </w:rPr>
        <w:t xml:space="preserve">, aged about 34 years, Indian Inhabitant, Occupation: Service (Senior Analyst, Brightwave Analytics Pvt. Ltd., Airoli, Navi Mumbai), holding PAN No. AKNPN4821Q and Aadhaar No. 3920 5148 7763, Mobile No. +91 99870 22314, Email: arjun.nair@examplemail.com, AND </w:t>
      </w:r>
      <w:r>
        <w:rPr>
          <w:rFonts w:ascii="Times New Roman" w:cs="Times New Roman" w:eastAsia="Times New Roman" w:hAnsi="Times New Roman"/>
          <w:b/>
          <w:bCs/>
          <w:sz w:val="22"/>
          <w:szCs w:val="22"/>
        </w:rPr>
        <w:t xml:space="preserve">MRS. KAVYA ARJUN NAIR</w:t>
      </w:r>
      <w:r>
        <w:rPr>
          <w:rFonts w:ascii="Times New Roman" w:cs="Times New Roman" w:eastAsia="Times New Roman" w:hAnsi="Times New Roman"/>
          <w:b w:val="false"/>
          <w:bCs w:val="false"/>
          <w:sz w:val="22"/>
          <w:szCs w:val="22"/>
        </w:rPr>
        <w:t xml:space="preserve">, aged about 32 years, Indian Inhabitant, Occupation: Homemaker, holding PAN No. BLRPN7390D and Aadhaar No. 6184 2057 9931, Mobile No. +91 99870 22315, Email: kavya.nair@examplemail.com, both having permanent address at 14, Palm Grove Apartments, Vazhuthacaud, Thiruvananthapuram 695014, Kerala, hereinafter jointly referred to as the </w:t>
      </w:r>
      <w:r>
        <w:rPr>
          <w:rFonts w:ascii="Times New Roman" w:cs="Times New Roman" w:eastAsia="Times New Roman" w:hAnsi="Times New Roman"/>
          <w:b/>
          <w:bCs/>
          <w:sz w:val="22"/>
          <w:szCs w:val="22"/>
        </w:rPr>
        <w:t xml:space="preserve">"LICENSEES"</w:t>
      </w:r>
      <w:r>
        <w:rPr>
          <w:rFonts w:ascii="Times New Roman" w:cs="Times New Roman" w:eastAsia="Times New Roman" w:hAnsi="Times New Roman"/>
          <w:sz w:val="22"/>
          <w:szCs w:val="22"/>
        </w:rPr>
        <w:t xml:space="preserve"> (which expression shall, unless repugnant to the context, include their respective heirs, executors and administrators) of the OTHER PART.</w:t>
      </w:r>
    </w:p>
    <w:p>
      <w:pPr>
        <w:spacing w:after="120" w:line="276"/>
        <w:jc w:val="both"/>
      </w:pPr>
      <w:r>
        <w:rPr>
          <w:rFonts w:ascii="Times New Roman" w:cs="Times New Roman" w:eastAsia="Times New Roman" w:hAnsi="Times New Roman"/>
          <w:sz w:val="22"/>
          <w:szCs w:val="22"/>
        </w:rPr>
        <w:t xml:space="preserve">WHEREAS the Licensor is the absolute owner of Flat No. B-1203, 12th Floor, B Wing, Lakeview Heights, Survey No. 118/4, Ghodbunder Road, Hiranandani Estate, Thane (West) 400607, admeasuring approximately 812 sq. ft. (RERA carpet area), together with one covered car parking space bearing No. P-114, within the limits of the Thane Municipal Corporation, Taluka and District Thane (the "Licensed Premises"), in the building of Lakeview Heights Co-operative Housing Society Ltd. (the "Society");</w:t>
      </w:r>
    </w:p>
    <w:p>
      <w:pPr>
        <w:spacing w:after="120" w:line="276"/>
        <w:jc w:val="both"/>
      </w:pPr>
      <w:r>
        <w:rPr>
          <w:rFonts w:ascii="Times New Roman" w:cs="Times New Roman" w:eastAsia="Times New Roman" w:hAnsi="Times New Roman"/>
          <w:sz w:val="22"/>
          <w:szCs w:val="22"/>
        </w:rPr>
        <w:t xml:space="preserve">AND WHEREAS the Licensees have requested the Licensor to grant leave and licence of the Licensed Premises for their residential use only, and the Licensor has agreed on the terms hereinafter appearing;</w:t>
      </w:r>
    </w:p>
    <w:p>
      <w:pPr>
        <w:spacing w:after="120" w:line="276"/>
        <w:jc w:val="both"/>
      </w:pPr>
      <w:r>
        <w:rPr>
          <w:rFonts w:ascii="Times New Roman" w:cs="Times New Roman" w:eastAsia="Times New Roman" w:hAnsi="Times New Roman"/>
          <w:sz w:val="22"/>
          <w:szCs w:val="22"/>
        </w:rPr>
        <w:t xml:space="preserve">AND WHEREAS the parties wish to record their agreement in writing.</w:t>
      </w:r>
    </w:p>
    <w:p>
      <w:pPr>
        <w:spacing w:after="160"/>
      </w:pPr>
      <w:r>
        <w:rPr>
          <w:rFonts w:ascii="Times New Roman" w:cs="Times New Roman" w:eastAsia="Times New Roman" w:hAnsi="Times New Roman"/>
          <w:b/>
          <w:bCs/>
          <w:sz w:val="22"/>
          <w:szCs w:val="22"/>
        </w:rPr>
        <w:t xml:space="preserve">NOW THIS AGREEMENT WITNESSETH AND IT IS HEREBY AGREED BY AND BETWEEN THE PARTIES AS UNDER:</w:t>
      </w:r>
    </w:p>
    <w:p>
      <w:pPr>
        <w:keepNext/>
        <w:spacing w:after="100" w:before="160"/>
      </w:pPr>
      <w:r>
        <w:rPr>
          <w:rFonts w:ascii="Times New Roman" w:cs="Times New Roman" w:eastAsia="Times New Roman" w:hAnsi="Times New Roman"/>
          <w:b/>
          <w:bCs/>
          <w:sz w:val="22"/>
          <w:szCs w:val="22"/>
        </w:rPr>
        <w:t xml:space="preserve">1. LICENSED PREMISES AND PURPOSE</w:t>
      </w:r>
    </w:p>
    <w:p>
      <w:pPr>
        <w:spacing w:after="120" w:line="276"/>
        <w:ind w:left="360"/>
        <w:jc w:val="both"/>
      </w:pPr>
      <w:r>
        <w:rPr>
          <w:rFonts w:ascii="Times New Roman" w:cs="Times New Roman" w:eastAsia="Times New Roman" w:hAnsi="Times New Roman"/>
          <w:sz w:val="22"/>
          <w:szCs w:val="22"/>
        </w:rPr>
        <w:t xml:space="preserve">1.1 The Licensor grants to the Licensees, jointly, a non-exclusive personal licence to occupy the Licensed Premises together with the fixtures and furniture listed in Annexure 'A' and the use of covered car parking space No. P-114, solely for the residential use of the Licensees and their minor daughter.</w:t>
      </w:r>
    </w:p>
    <w:p>
      <w:pPr>
        <w:spacing w:after="120" w:line="276"/>
        <w:ind w:left="360"/>
        <w:jc w:val="both"/>
      </w:pPr>
      <w:r>
        <w:rPr>
          <w:rFonts w:ascii="Times New Roman" w:cs="Times New Roman" w:eastAsia="Times New Roman" w:hAnsi="Times New Roman"/>
          <w:sz w:val="22"/>
          <w:szCs w:val="22"/>
        </w:rPr>
        <w:t xml:space="preserve">1.2 This Agreement is a leave and licence only. It does not create any tenancy, sub-tenancy or any interest in the Licensed Premises, and possession remains with the Licensor at all times.</w:t>
      </w:r>
    </w:p>
    <w:tbl>
      <w:tblPr>
        <w:tblW w:type="dxa" w:w="864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2000"/>
        <w:gridCol w:w="6640"/>
      </w:tblGrid>
      <w:tr>
        <w:tc>
          <w:tcPr>
            <w:tcW w:type="dxa" w:w="2000"/>
            <w:tcBorders>
              <w:top w:val="single" w:color="000000" w:sz="6"/>
              <w:left w:val="single" w:color="000000" w:sz="6"/>
              <w:bottom w:val="single" w:color="000000" w:sz="6"/>
              <w:right w:val="single" w:color="000000" w:sz="6"/>
            </w:tcBorders>
            <w:shd w:fill="CFE8CF" w:val="clear"/>
            <w:tcMar>
              <w:top w:type="dxa" w:w="60"/>
              <w:left w:type="dxa" w:w="100"/>
              <w:bottom w:type="dxa" w:w="60"/>
              <w:right w:type="dxa" w:w="100"/>
            </w:tcMar>
          </w:tcPr>
          <w:p>
            <w:r>
              <w:rPr>
                <w:rFonts w:ascii="Times New Roman" w:cs="Times New Roman" w:eastAsia="Times New Roman" w:hAnsi="Times New Roman"/>
                <w:b/>
                <w:bCs/>
                <w:sz w:val="18"/>
                <w:szCs w:val="18"/>
              </w:rPr>
              <w:t xml:space="preserve">Expected risk</w:t>
            </w:r>
          </w:p>
        </w:tc>
        <w:tc>
          <w:tcPr>
            <w:tcW w:type="dxa" w:w="6640"/>
            <w:tcBorders>
              <w:top w:val="single" w:color="000000" w:sz="6"/>
              <w:left w:val="single" w:color="000000" w:sz="6"/>
              <w:bottom w:val="single" w:color="000000" w:sz="6"/>
              <w:right w:val="single" w:color="000000" w:sz="6"/>
            </w:tcBorders>
            <w:shd w:fill="CFE8CF" w:val="clear"/>
            <w:tcMar>
              <w:top w:type="dxa" w:w="60"/>
              <w:left w:type="dxa" w:w="100"/>
              <w:bottom w:type="dxa" w:w="60"/>
              <w:right w:type="dxa" w:w="100"/>
            </w:tcMar>
          </w:tcPr>
          <w:p>
            <w:r>
              <w:rPr>
                <w:rFonts w:ascii="Times New Roman" w:cs="Times New Roman" w:eastAsia="Times New Roman" w:hAnsi="Times New Roman"/>
                <w:b/>
                <w:bCs/>
                <w:sz w:val="18"/>
                <w:szCs w:val="18"/>
              </w:rPr>
              <w:t xml:space="preserve">LOW  (0 points)</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Category</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Grant of License / Scope</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Rationale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Standard licence grant; residential-only; expressly not a tenancy.</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Legal basis</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Indian Easements Act 1882 s.52</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Annotator confidence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high</w:t>
            </w:r>
          </w:p>
        </w:tc>
      </w:tr>
    </w:tbl>
    <w:p>
      <w:pPr>
        <w:spacing w:after="80"/>
      </w:pPr>
    </w:p>
    <w:p>
      <w:pPr>
        <w:keepNext/>
        <w:spacing w:after="100" w:before="160"/>
      </w:pPr>
      <w:r>
        <w:rPr>
          <w:rFonts w:ascii="Times New Roman" w:cs="Times New Roman" w:eastAsia="Times New Roman" w:hAnsi="Times New Roman"/>
          <w:b/>
          <w:bCs/>
          <w:sz w:val="22"/>
          <w:szCs w:val="22"/>
        </w:rPr>
        <w:t xml:space="preserve">2. TERM AND POSSESSION</w:t>
      </w:r>
    </w:p>
    <w:p>
      <w:pPr>
        <w:spacing w:after="120" w:line="276"/>
        <w:ind w:left="360"/>
        <w:jc w:val="both"/>
      </w:pPr>
      <w:r>
        <w:rPr>
          <w:rFonts w:ascii="Times New Roman" w:cs="Times New Roman" w:eastAsia="Times New Roman" w:hAnsi="Times New Roman"/>
          <w:sz w:val="22"/>
          <w:szCs w:val="22"/>
        </w:rPr>
        <w:t xml:space="preserve">2.1 The licence is granted for 11 (eleven) months commencing on 1st January 2027 and ending on 30th November 2027 (both days inclusive) (the "License Period").</w:t>
      </w:r>
    </w:p>
    <w:p>
      <w:pPr>
        <w:spacing w:after="120" w:line="276"/>
        <w:ind w:left="360"/>
        <w:jc w:val="both"/>
      </w:pPr>
      <w:r>
        <w:rPr>
          <w:rFonts w:ascii="Times New Roman" w:cs="Times New Roman" w:eastAsia="Times New Roman" w:hAnsi="Times New Roman"/>
          <w:sz w:val="22"/>
          <w:szCs w:val="22"/>
        </w:rPr>
        <w:t xml:space="preserve">2.2 The Licensor shall hand over vacant and peaceful possession on 1st January 2027 against receipt of the Security Deposit and the first month's License Fee.</w:t>
      </w:r>
    </w:p>
    <w:p>
      <w:pPr>
        <w:spacing w:after="120" w:line="276"/>
        <w:ind w:left="360"/>
        <w:jc w:val="both"/>
      </w:pPr>
      <w:r>
        <w:rPr>
          <w:rFonts w:ascii="Times New Roman" w:cs="Times New Roman" w:eastAsia="Times New Roman" w:hAnsi="Times New Roman"/>
          <w:sz w:val="22"/>
          <w:szCs w:val="22"/>
        </w:rPr>
        <w:t xml:space="preserve">2.3 If the Licensees do not vacate on expiry, they shall pay compensation at 125% (one hundred and twenty-five percent) of the pro-rata daily License Fee for a maximum of 15 (fifteen) days, after which the Licensor may initiate proceedings for recovery of possession. Such payment confers no right to remain in possession.</w:t>
      </w:r>
    </w:p>
    <w:tbl>
      <w:tblPr>
        <w:tblW w:type="dxa" w:w="864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2000"/>
        <w:gridCol w:w="6640"/>
      </w:tblGrid>
      <w:tr>
        <w:tc>
          <w:tcPr>
            <w:tcW w:type="dxa" w:w="2000"/>
            <w:tcBorders>
              <w:top w:val="single" w:color="000000" w:sz="6"/>
              <w:left w:val="single" w:color="000000" w:sz="6"/>
              <w:bottom w:val="single" w:color="000000" w:sz="6"/>
              <w:right w:val="single" w:color="000000" w:sz="6"/>
            </w:tcBorders>
            <w:shd w:fill="CFE8CF" w:val="clear"/>
            <w:tcMar>
              <w:top w:type="dxa" w:w="60"/>
              <w:left w:type="dxa" w:w="100"/>
              <w:bottom w:type="dxa" w:w="60"/>
              <w:right w:type="dxa" w:w="100"/>
            </w:tcMar>
          </w:tcPr>
          <w:p>
            <w:r>
              <w:rPr>
                <w:rFonts w:ascii="Times New Roman" w:cs="Times New Roman" w:eastAsia="Times New Roman" w:hAnsi="Times New Roman"/>
                <w:b/>
                <w:bCs/>
                <w:sz w:val="18"/>
                <w:szCs w:val="18"/>
              </w:rPr>
              <w:t xml:space="preserve">Expected risk</w:t>
            </w:r>
          </w:p>
        </w:tc>
        <w:tc>
          <w:tcPr>
            <w:tcW w:type="dxa" w:w="6640"/>
            <w:tcBorders>
              <w:top w:val="single" w:color="000000" w:sz="6"/>
              <w:left w:val="single" w:color="000000" w:sz="6"/>
              <w:bottom w:val="single" w:color="000000" w:sz="6"/>
              <w:right w:val="single" w:color="000000" w:sz="6"/>
            </w:tcBorders>
            <w:shd w:fill="CFE8CF" w:val="clear"/>
            <w:tcMar>
              <w:top w:type="dxa" w:w="60"/>
              <w:left w:type="dxa" w:w="100"/>
              <w:bottom w:type="dxa" w:w="60"/>
              <w:right w:type="dxa" w:w="100"/>
            </w:tcMar>
          </w:tcPr>
          <w:p>
            <w:r>
              <w:rPr>
                <w:rFonts w:ascii="Times New Roman" w:cs="Times New Roman" w:eastAsia="Times New Roman" w:hAnsi="Times New Roman"/>
                <w:b/>
                <w:bCs/>
                <w:sz w:val="18"/>
                <w:szCs w:val="18"/>
              </w:rPr>
              <w:t xml:space="preserve">LOW  (0 points)</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Category</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Term / Possession</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Rationale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Clear dates, possession date and a moderate, time-capped holding-over charge (contrast: a 200% uncapped charge would be borderline).</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Legal basis</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MRCA 1999 s.55 (11-month L&amp;L structure); ICA s.74 (reasonable compensation)</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Annotator confidence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high</w:t>
            </w:r>
          </w:p>
        </w:tc>
      </w:tr>
    </w:tbl>
    <w:p>
      <w:pPr>
        <w:spacing w:after="80"/>
      </w:pPr>
    </w:p>
    <w:p>
      <w:pPr>
        <w:keepNext/>
        <w:spacing w:after="100" w:before="160"/>
      </w:pPr>
      <w:r>
        <w:rPr>
          <w:rFonts w:ascii="Times New Roman" w:cs="Times New Roman" w:eastAsia="Times New Roman" w:hAnsi="Times New Roman"/>
          <w:b/>
          <w:bCs/>
          <w:sz w:val="22"/>
          <w:szCs w:val="22"/>
        </w:rPr>
        <w:t xml:space="preserve">3. LICENSE FEE AND PAYMENT</w:t>
      </w:r>
    </w:p>
    <w:p>
      <w:pPr>
        <w:spacing w:after="120" w:line="276"/>
        <w:ind w:left="360"/>
        <w:jc w:val="both"/>
      </w:pPr>
      <w:r>
        <w:rPr>
          <w:rFonts w:ascii="Times New Roman" w:cs="Times New Roman" w:eastAsia="Times New Roman" w:hAnsi="Times New Roman"/>
          <w:sz w:val="22"/>
          <w:szCs w:val="22"/>
        </w:rPr>
        <w:t xml:space="preserve">3.1 The Licensees shall pay a monthly license fee of Rs. 38,000/- (Rupees Thirty-Eight Thousand only) (the "License Fee"), in advance, on or before the 7th day of each calendar month by NEFT/UPI to the NRO account of the Licensor: Account Holder: Dr. Anand Shankar Bapat, ICICI Bank, Ghodbunder Road Branch, Account No. 003901567842, IFSC: ICIC0006789, UPI ID: nilesh.gawde@okicici.</w:t>
      </w:r>
    </w:p>
    <w:p>
      <w:pPr>
        <w:spacing w:after="120" w:line="276"/>
        <w:ind w:left="360"/>
        <w:jc w:val="both"/>
      </w:pPr>
      <w:r>
        <w:rPr>
          <w:rFonts w:ascii="Times New Roman" w:cs="Times New Roman" w:eastAsia="Times New Roman" w:hAnsi="Times New Roman"/>
          <w:sz w:val="22"/>
          <w:szCs w:val="22"/>
        </w:rPr>
        <w:t xml:space="preserve">3.2 The Licensor (or his Attorney) shall issue a written or electronic receipt within 3 (three) days of each payment.</w:t>
      </w:r>
    </w:p>
    <w:p>
      <w:pPr>
        <w:spacing w:after="120" w:line="276"/>
        <w:ind w:left="360"/>
        <w:jc w:val="both"/>
      </w:pPr>
      <w:r>
        <w:rPr>
          <w:rFonts w:ascii="Times New Roman" w:cs="Times New Roman" w:eastAsia="Times New Roman" w:hAnsi="Times New Roman"/>
          <w:sz w:val="22"/>
          <w:szCs w:val="22"/>
        </w:rPr>
        <w:t xml:space="preserve">3.3 The License Fee shall remain fixed for the entire License Period.</w:t>
      </w:r>
    </w:p>
    <w:tbl>
      <w:tblPr>
        <w:tblW w:type="dxa" w:w="864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2000"/>
        <w:gridCol w:w="6640"/>
      </w:tblGrid>
      <w:tr>
        <w:tc>
          <w:tcPr>
            <w:tcW w:type="dxa" w:w="2000"/>
            <w:tcBorders>
              <w:top w:val="single" w:color="000000" w:sz="6"/>
              <w:left w:val="single" w:color="000000" w:sz="6"/>
              <w:bottom w:val="single" w:color="000000" w:sz="6"/>
              <w:right w:val="single" w:color="000000" w:sz="6"/>
            </w:tcBorders>
            <w:shd w:fill="CFE8CF" w:val="clear"/>
            <w:tcMar>
              <w:top w:type="dxa" w:w="60"/>
              <w:left w:type="dxa" w:w="100"/>
              <w:bottom w:type="dxa" w:w="60"/>
              <w:right w:type="dxa" w:w="100"/>
            </w:tcMar>
          </w:tcPr>
          <w:p>
            <w:r>
              <w:rPr>
                <w:rFonts w:ascii="Times New Roman" w:cs="Times New Roman" w:eastAsia="Times New Roman" w:hAnsi="Times New Roman"/>
                <w:b/>
                <w:bCs/>
                <w:sz w:val="18"/>
                <w:szCs w:val="18"/>
              </w:rPr>
              <w:t xml:space="preserve">Expected risk</w:t>
            </w:r>
          </w:p>
        </w:tc>
        <w:tc>
          <w:tcPr>
            <w:tcW w:type="dxa" w:w="6640"/>
            <w:tcBorders>
              <w:top w:val="single" w:color="000000" w:sz="6"/>
              <w:left w:val="single" w:color="000000" w:sz="6"/>
              <w:bottom w:val="single" w:color="000000" w:sz="6"/>
              <w:right w:val="single" w:color="000000" w:sz="6"/>
            </w:tcBorders>
            <w:shd w:fill="CFE8CF" w:val="clear"/>
            <w:tcMar>
              <w:top w:type="dxa" w:w="60"/>
              <w:left w:type="dxa" w:w="100"/>
              <w:bottom w:type="dxa" w:w="60"/>
              <w:right w:type="dxa" w:w="100"/>
            </w:tcMar>
          </w:tcPr>
          <w:p>
            <w:r>
              <w:rPr>
                <w:rFonts w:ascii="Times New Roman" w:cs="Times New Roman" w:eastAsia="Times New Roman" w:hAnsi="Times New Roman"/>
                <w:b/>
                <w:bCs/>
                <w:sz w:val="18"/>
                <w:szCs w:val="18"/>
              </w:rPr>
              <w:t xml:space="preserve">LOW  (0 points)</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Category</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License Fee / Payment</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Rationale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Fixed fee, traceable banking channel, receipt obligation. NOTE: 3.3 (fee fixed) conflicts with Clause 4.</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Legal basis</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Income-tax rules on cash limits – banking channel is compliant</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Annotator confidence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high</w:t>
            </w:r>
          </w:p>
        </w:tc>
      </w:tr>
    </w:tbl>
    <w:p>
      <w:pPr>
        <w:spacing w:after="80"/>
      </w:pPr>
    </w:p>
    <w:p>
      <w:pPr>
        <w:keepNext/>
        <w:spacing w:after="100" w:before="160"/>
      </w:pPr>
      <w:r>
        <w:rPr>
          <w:rFonts w:ascii="Times New Roman" w:cs="Times New Roman" w:eastAsia="Times New Roman" w:hAnsi="Times New Roman"/>
          <w:b/>
          <w:bCs/>
          <w:sz w:val="22"/>
          <w:szCs w:val="22"/>
        </w:rPr>
        <w:t xml:space="preserve">4. REVISION OF LICENSE FEE</w:t>
      </w:r>
    </w:p>
    <w:p>
      <w:pPr>
        <w:spacing w:after="120" w:line="276"/>
        <w:ind w:left="360"/>
        <w:jc w:val="both"/>
      </w:pPr>
      <w:r>
        <w:rPr>
          <w:rFonts w:ascii="Times New Roman" w:cs="Times New Roman" w:eastAsia="Times New Roman" w:hAnsi="Times New Roman"/>
          <w:sz w:val="22"/>
          <w:szCs w:val="22"/>
        </w:rPr>
        <w:t xml:space="preserve">4.1 Notwithstanding Clause 3.3, the Licensor may, at any time during the License Period, </w:t>
      </w:r>
      <w:r>
        <w:rPr>
          <w:rFonts w:ascii="Times New Roman" w:cs="Times New Roman" w:eastAsia="Times New Roman" w:hAnsi="Times New Roman"/>
          <w:b/>
          <w:bCs/>
          <w:sz w:val="22"/>
          <w:szCs w:val="22"/>
          <w:shd w:fill="F8D3A8" w:val="clear"/>
        </w:rPr>
        <w:t xml:space="preserve">revise the License Fee upward at his sole discretion</w:t>
      </w:r>
      <w:r>
        <w:rPr>
          <w:rFonts w:ascii="Times New Roman" w:cs="Times New Roman" w:eastAsia="Times New Roman" w:hAnsi="Times New Roman"/>
          <w:sz w:val="22"/>
          <w:szCs w:val="22"/>
        </w:rPr>
        <w:t xml:space="preserve"> to reflect prevailing market conditions, by giving 15 (fifteen) days' written notice to the Licensees.</w:t>
      </w:r>
    </w:p>
    <w:p>
      <w:pPr>
        <w:spacing w:after="120" w:line="276"/>
        <w:ind w:left="360"/>
        <w:jc w:val="both"/>
      </w:pPr>
      <w:r>
        <w:rPr>
          <w:rFonts w:ascii="Times New Roman" w:cs="Times New Roman" w:eastAsia="Times New Roman" w:hAnsi="Times New Roman"/>
          <w:sz w:val="22"/>
          <w:szCs w:val="22"/>
        </w:rPr>
        <w:t xml:space="preserve">4.2 The revised License Fee shall be binding on the Licensees from the date specified in the notice. If the Licensees do not accept the revision, their only remedy is to vacate in accordance with Clause 9.</w:t>
      </w:r>
    </w:p>
    <w:tbl>
      <w:tblPr>
        <w:tblW w:type="dxa" w:w="864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2000"/>
        <w:gridCol w:w="6640"/>
      </w:tblGrid>
      <w:tr>
        <w:tc>
          <w:tcPr>
            <w:tcW w:type="dxa" w:w="2000"/>
            <w:tcBorders>
              <w:top w:val="single" w:color="000000" w:sz="6"/>
              <w:left w:val="single" w:color="000000" w:sz="6"/>
              <w:bottom w:val="single" w:color="000000" w:sz="6"/>
              <w:right w:val="single" w:color="000000" w:sz="6"/>
            </w:tcBorders>
            <w:shd w:fill="F8D3A8" w:val="clear"/>
            <w:tcMar>
              <w:top w:type="dxa" w:w="60"/>
              <w:left w:type="dxa" w:w="100"/>
              <w:bottom w:type="dxa" w:w="60"/>
              <w:right w:type="dxa" w:w="100"/>
            </w:tcMar>
          </w:tcPr>
          <w:p>
            <w:r>
              <w:rPr>
                <w:rFonts w:ascii="Times New Roman" w:cs="Times New Roman" w:eastAsia="Times New Roman" w:hAnsi="Times New Roman"/>
                <w:b/>
                <w:bCs/>
                <w:sz w:val="18"/>
                <w:szCs w:val="18"/>
              </w:rPr>
              <w:t xml:space="preserve">Expected risk</w:t>
            </w:r>
          </w:p>
        </w:tc>
        <w:tc>
          <w:tcPr>
            <w:tcW w:type="dxa" w:w="6640"/>
            <w:tcBorders>
              <w:top w:val="single" w:color="000000" w:sz="6"/>
              <w:left w:val="single" w:color="000000" w:sz="6"/>
              <w:bottom w:val="single" w:color="000000" w:sz="6"/>
              <w:right w:val="single" w:color="000000" w:sz="6"/>
            </w:tcBorders>
            <w:shd w:fill="F8D3A8" w:val="clear"/>
            <w:tcMar>
              <w:top w:type="dxa" w:w="60"/>
              <w:left w:type="dxa" w:w="100"/>
              <w:bottom w:type="dxa" w:w="60"/>
              <w:right w:type="dxa" w:w="100"/>
            </w:tcMar>
          </w:tcPr>
          <w:p>
            <w:r>
              <w:rPr>
                <w:rFonts w:ascii="Times New Roman" w:cs="Times New Roman" w:eastAsia="Times New Roman" w:hAnsi="Times New Roman"/>
                <w:b/>
                <w:bCs/>
                <w:sz w:val="18"/>
                <w:szCs w:val="18"/>
              </w:rPr>
              <w:t xml:space="preserve">HIGH  (-10 points)</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Category</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Rent Revision / Escalation</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Rationale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Open-ended unilateral price variation with no cap, no formula and no consent; the only remedy (vacate) is blocked by the lock-in and forfeiture in Clause 9. Directly contradicts Clause 3.3.</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Legal basis</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ICA s.23 / s.29 (uncertainty &amp; one-sidedness); rule: unilateral variation without cap or consent</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Safer alternative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Any change in the License Fee shall be made only by a written amendment signed by both parties under Clause 29.2. No increase shall apply during the License Period.</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Annotator confidence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high</w:t>
            </w:r>
          </w:p>
        </w:tc>
      </w:tr>
    </w:tbl>
    <w:p>
      <w:pPr>
        <w:spacing w:after="80"/>
      </w:pPr>
    </w:p>
    <w:p>
      <w:pPr>
        <w:keepNext/>
        <w:spacing w:after="100" w:before="160"/>
      </w:pPr>
      <w:r>
        <w:rPr>
          <w:rFonts w:ascii="Times New Roman" w:cs="Times New Roman" w:eastAsia="Times New Roman" w:hAnsi="Times New Roman"/>
          <w:b/>
          <w:bCs/>
          <w:sz w:val="22"/>
          <w:szCs w:val="22"/>
        </w:rPr>
        <w:t xml:space="preserve">5. TAXES AND TAX DEDUCTION AT SOURCE</w:t>
      </w:r>
    </w:p>
    <w:p>
      <w:pPr>
        <w:spacing w:after="120" w:line="276"/>
        <w:ind w:left="360"/>
        <w:jc w:val="both"/>
      </w:pPr>
      <w:r>
        <w:rPr>
          <w:rFonts w:ascii="Times New Roman" w:cs="Times New Roman" w:eastAsia="Times New Roman" w:hAnsi="Times New Roman"/>
          <w:sz w:val="22"/>
          <w:szCs w:val="22"/>
        </w:rPr>
        <w:t xml:space="preserve">5.1 The Licensor is a non-resident of India. The Licensees shall deduct tax at source on the License Fee as required by law and shall deposit it with the Government within the due dates.</w:t>
      </w:r>
    </w:p>
    <w:p>
      <w:pPr>
        <w:spacing w:after="120" w:line="276"/>
        <w:ind w:left="360"/>
        <w:jc w:val="both"/>
      </w:pPr>
      <w:r>
        <w:rPr>
          <w:rFonts w:ascii="Times New Roman" w:cs="Times New Roman" w:eastAsia="Times New Roman" w:hAnsi="Times New Roman"/>
          <w:sz w:val="22"/>
          <w:szCs w:val="22"/>
        </w:rPr>
        <w:t xml:space="preserve">5.2 All such tax, together with any interest, fee or penalty arising from TDS compliance, shall be borne solely by the Licensees, who shall pay to the Licensor </w:t>
      </w:r>
      <w:r>
        <w:rPr>
          <w:rFonts w:ascii="Times New Roman" w:cs="Times New Roman" w:eastAsia="Times New Roman" w:hAnsi="Times New Roman"/>
          <w:b/>
          <w:bCs/>
          <w:sz w:val="22"/>
          <w:szCs w:val="22"/>
          <w:shd w:fill="FFF2A8" w:val="clear"/>
        </w:rPr>
        <w:t xml:space="preserve">such additional amount as will ensure that the Licensor receives the full License Fee net of all taxes</w:t>
      </w:r>
      <w:r>
        <w:rPr>
          <w:rFonts w:ascii="Times New Roman" w:cs="Times New Roman" w:eastAsia="Times New Roman" w:hAnsi="Times New Roman"/>
          <w:sz w:val="22"/>
          <w:szCs w:val="22"/>
        </w:rPr>
        <w:t xml:space="preserve">.</w:t>
      </w:r>
    </w:p>
    <w:tbl>
      <w:tblPr>
        <w:tblW w:type="dxa" w:w="864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2000"/>
        <w:gridCol w:w="6640"/>
      </w:tblGrid>
      <w:tr>
        <w:tc>
          <w:tcPr>
            <w:tcW w:type="dxa" w:w="2000"/>
            <w:tcBorders>
              <w:top w:val="single" w:color="000000" w:sz="6"/>
              <w:left w:val="single" w:color="000000" w:sz="6"/>
              <w:bottom w:val="single" w:color="000000" w:sz="6"/>
              <w:right w:val="single" w:color="000000" w:sz="6"/>
            </w:tcBorders>
            <w:shd w:fill="FFF2A8" w:val="clear"/>
            <w:tcMar>
              <w:top w:type="dxa" w:w="60"/>
              <w:left w:type="dxa" w:w="100"/>
              <w:bottom w:type="dxa" w:w="60"/>
              <w:right w:type="dxa" w:w="100"/>
            </w:tcMar>
          </w:tcPr>
          <w:p>
            <w:r>
              <w:rPr>
                <w:rFonts w:ascii="Times New Roman" w:cs="Times New Roman" w:eastAsia="Times New Roman" w:hAnsi="Times New Roman"/>
                <w:b/>
                <w:bCs/>
                <w:sz w:val="18"/>
                <w:szCs w:val="18"/>
              </w:rPr>
              <w:t xml:space="preserve">Expected risk</w:t>
            </w:r>
          </w:p>
        </w:tc>
        <w:tc>
          <w:tcPr>
            <w:tcW w:type="dxa" w:w="6640"/>
            <w:tcBorders>
              <w:top w:val="single" w:color="000000" w:sz="6"/>
              <w:left w:val="single" w:color="000000" w:sz="6"/>
              <w:bottom w:val="single" w:color="000000" w:sz="6"/>
              <w:right w:val="single" w:color="000000" w:sz="6"/>
            </w:tcBorders>
            <w:shd w:fill="FFF2A8" w:val="clear"/>
            <w:tcMar>
              <w:top w:type="dxa" w:w="60"/>
              <w:left w:type="dxa" w:w="100"/>
              <w:bottom w:type="dxa" w:w="60"/>
              <w:right w:type="dxa" w:w="100"/>
            </w:tcMar>
          </w:tcPr>
          <w:p>
            <w:r>
              <w:rPr>
                <w:rFonts w:ascii="Times New Roman" w:cs="Times New Roman" w:eastAsia="Times New Roman" w:hAnsi="Times New Roman"/>
                <w:b/>
                <w:bCs/>
                <w:sz w:val="18"/>
                <w:szCs w:val="18"/>
              </w:rPr>
              <w:t xml:space="preserve">MEDIUM  (-4 points)</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Category</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Tax / TDS</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Rationale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Gross-up shifts the Licensor's own income-tax burden onto the Licensees; for a non-resident payee the effective extra cost can be very large. Also makes the Licensees liable for penalties even if caused by the Licensor's missing documents.</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Legal basis</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Income-tax law on TDS for payments to non-residents (formerly s.195 of the 1961 Act; now under the Income-tax Act, 2025 – verify current section)</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Safer alternative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The Licensor shall bear all income-tax on the License Fee. The Licensees shall deduct TDS from the License Fee as required by law, furnish the TDS certificate, and the Licensor shall provide PAN and any certificate needed to reduce deduction.</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Annotator confidence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medium</w:t>
            </w:r>
          </w:p>
        </w:tc>
      </w:tr>
    </w:tbl>
    <w:p>
      <w:pPr>
        <w:spacing w:after="80"/>
      </w:pPr>
    </w:p>
    <w:p>
      <w:pPr>
        <w:keepNext/>
        <w:spacing w:after="100" w:before="160"/>
      </w:pPr>
      <w:r>
        <w:rPr>
          <w:rFonts w:ascii="Times New Roman" w:cs="Times New Roman" w:eastAsia="Times New Roman" w:hAnsi="Times New Roman"/>
          <w:b/>
          <w:bCs/>
          <w:sz w:val="22"/>
          <w:szCs w:val="22"/>
        </w:rPr>
        <w:t xml:space="preserve">6. DELAYED PAYMENT INTEREST</w:t>
      </w:r>
    </w:p>
    <w:p>
      <w:pPr>
        <w:spacing w:after="120" w:line="276"/>
        <w:ind w:left="360"/>
        <w:jc w:val="both"/>
      </w:pPr>
      <w:r>
        <w:rPr>
          <w:rFonts w:ascii="Times New Roman" w:cs="Times New Roman" w:eastAsia="Times New Roman" w:hAnsi="Times New Roman"/>
          <w:sz w:val="22"/>
          <w:szCs w:val="22"/>
        </w:rPr>
        <w:t xml:space="preserve">6.1 If any instalment of the License Fee remains unpaid after a grace period of 5 (five) days from the due date, the Licensees shall pay simple interest at 18% (eighteen percent) per annum on the overdue amount from the due date until payment.</w:t>
      </w:r>
    </w:p>
    <w:p>
      <w:pPr>
        <w:spacing w:after="120" w:line="276"/>
        <w:ind w:left="360"/>
        <w:jc w:val="both"/>
      </w:pPr>
      <w:r>
        <w:rPr>
          <w:rFonts w:ascii="Times New Roman" w:cs="Times New Roman" w:eastAsia="Times New Roman" w:hAnsi="Times New Roman"/>
          <w:sz w:val="22"/>
          <w:szCs w:val="22"/>
        </w:rPr>
        <w:t xml:space="preserve">6.2 Interest under this Clause is the Licensor's sole monetary remedy for delay of up to 30 (thirty) days. Continued default shall be dealt with under Clause 10.</w:t>
      </w:r>
    </w:p>
    <w:tbl>
      <w:tblPr>
        <w:tblW w:type="dxa" w:w="864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2000"/>
        <w:gridCol w:w="6640"/>
      </w:tblGrid>
      <w:tr>
        <w:tc>
          <w:tcPr>
            <w:tcW w:type="dxa" w:w="2000"/>
            <w:tcBorders>
              <w:top w:val="single" w:color="000000" w:sz="6"/>
              <w:left w:val="single" w:color="000000" w:sz="6"/>
              <w:bottom w:val="single" w:color="000000" w:sz="6"/>
              <w:right w:val="single" w:color="000000" w:sz="6"/>
            </w:tcBorders>
            <w:shd w:fill="CFE8CF" w:val="clear"/>
            <w:tcMar>
              <w:top w:type="dxa" w:w="60"/>
              <w:left w:type="dxa" w:w="100"/>
              <w:bottom w:type="dxa" w:w="60"/>
              <w:right w:type="dxa" w:w="100"/>
            </w:tcMar>
          </w:tcPr>
          <w:p>
            <w:r>
              <w:rPr>
                <w:rFonts w:ascii="Times New Roman" w:cs="Times New Roman" w:eastAsia="Times New Roman" w:hAnsi="Times New Roman"/>
                <w:b/>
                <w:bCs/>
                <w:sz w:val="18"/>
                <w:szCs w:val="18"/>
              </w:rPr>
              <w:t xml:space="preserve">Expected risk</w:t>
            </w:r>
          </w:p>
        </w:tc>
        <w:tc>
          <w:tcPr>
            <w:tcW w:type="dxa" w:w="6640"/>
            <w:tcBorders>
              <w:top w:val="single" w:color="000000" w:sz="6"/>
              <w:left w:val="single" w:color="000000" w:sz="6"/>
              <w:bottom w:val="single" w:color="000000" w:sz="6"/>
              <w:right w:val="single" w:color="000000" w:sz="6"/>
            </w:tcBorders>
            <w:shd w:fill="CFE8CF" w:val="clear"/>
            <w:tcMar>
              <w:top w:type="dxa" w:w="60"/>
              <w:left w:type="dxa" w:w="100"/>
              <w:bottom w:type="dxa" w:w="60"/>
              <w:right w:type="dxa" w:w="100"/>
            </w:tcMar>
          </w:tcPr>
          <w:p>
            <w:r>
              <w:rPr>
                <w:rFonts w:ascii="Times New Roman" w:cs="Times New Roman" w:eastAsia="Times New Roman" w:hAnsi="Times New Roman"/>
                <w:b/>
                <w:bCs/>
                <w:sz w:val="18"/>
                <w:szCs w:val="18"/>
              </w:rPr>
              <w:t xml:space="preserve">LOW  (0 points)</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Category</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Late Payment</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Rationale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BORDERLINE-LOW. 18% p.a. is at the upper end but is interest (not a per-day penalty), has a grace period, and is the sole remedy for short delays. Test that the system does NOT confuse "18%" with an oppressive per-day penalty.</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Legal basis</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ICA s.74; Interest Act 1978 (by analogy)</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Annotator confidence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medium</w:t>
            </w:r>
          </w:p>
        </w:tc>
      </w:tr>
    </w:tbl>
    <w:p>
      <w:pPr>
        <w:spacing w:after="80"/>
      </w:pPr>
    </w:p>
    <w:p>
      <w:pPr>
        <w:keepNext/>
        <w:spacing w:after="100" w:before="160"/>
      </w:pPr>
      <w:r>
        <w:rPr>
          <w:rFonts w:ascii="Times New Roman" w:cs="Times New Roman" w:eastAsia="Times New Roman" w:hAnsi="Times New Roman"/>
          <w:b/>
          <w:bCs/>
          <w:sz w:val="22"/>
          <w:szCs w:val="22"/>
        </w:rPr>
        <w:t xml:space="preserve">7. SECURITY DEPOSIT</w:t>
      </w:r>
    </w:p>
    <w:p>
      <w:pPr>
        <w:spacing w:after="120" w:line="276"/>
        <w:ind w:left="360"/>
        <w:jc w:val="both"/>
      </w:pPr>
      <w:r>
        <w:rPr>
          <w:rFonts w:ascii="Times New Roman" w:cs="Times New Roman" w:eastAsia="Times New Roman" w:hAnsi="Times New Roman"/>
          <w:sz w:val="22"/>
          <w:szCs w:val="22"/>
        </w:rPr>
        <w:t xml:space="preserve">7.1 The Licensees have paid to the Licensor an interest-free refundable security deposit of Rs. 2,28,000/- (Rupees Two Lakh Twenty-Eight Thousand only), being six months' License Fee (the "Security Deposit"), by NEFT bearing UTR No. KKBKN52026122398765432 dated 23rd December 2026, receipt of which the Licensor acknowledges.</w:t>
      </w:r>
    </w:p>
    <w:p>
      <w:pPr>
        <w:spacing w:after="120" w:line="276"/>
        <w:ind w:left="360"/>
        <w:jc w:val="both"/>
      </w:pPr>
      <w:r>
        <w:rPr>
          <w:rFonts w:ascii="Times New Roman" w:cs="Times New Roman" w:eastAsia="Times New Roman" w:hAnsi="Times New Roman"/>
          <w:sz w:val="22"/>
          <w:szCs w:val="22"/>
        </w:rPr>
        <w:t xml:space="preserve">7.2 The Security Deposit is not an advance of License Fee and the Licensees shall not adjust it against the License Fee, except with the Licensor's written consent.</w:t>
      </w:r>
    </w:p>
    <w:tbl>
      <w:tblPr>
        <w:tblW w:type="dxa" w:w="864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2000"/>
        <w:gridCol w:w="6640"/>
      </w:tblGrid>
      <w:tr>
        <w:tc>
          <w:tcPr>
            <w:tcW w:type="dxa" w:w="2000"/>
            <w:tcBorders>
              <w:top w:val="single" w:color="000000" w:sz="6"/>
              <w:left w:val="single" w:color="000000" w:sz="6"/>
              <w:bottom w:val="single" w:color="000000" w:sz="6"/>
              <w:right w:val="single" w:color="000000" w:sz="6"/>
            </w:tcBorders>
            <w:shd w:fill="CFE8CF" w:val="clear"/>
            <w:tcMar>
              <w:top w:type="dxa" w:w="60"/>
              <w:left w:type="dxa" w:w="100"/>
              <w:bottom w:type="dxa" w:w="60"/>
              <w:right w:type="dxa" w:w="100"/>
            </w:tcMar>
          </w:tcPr>
          <w:p>
            <w:r>
              <w:rPr>
                <w:rFonts w:ascii="Times New Roman" w:cs="Times New Roman" w:eastAsia="Times New Roman" w:hAnsi="Times New Roman"/>
                <w:b/>
                <w:bCs/>
                <w:sz w:val="18"/>
                <w:szCs w:val="18"/>
              </w:rPr>
              <w:t xml:space="preserve">Expected risk</w:t>
            </w:r>
          </w:p>
        </w:tc>
        <w:tc>
          <w:tcPr>
            <w:tcW w:type="dxa" w:w="6640"/>
            <w:tcBorders>
              <w:top w:val="single" w:color="000000" w:sz="6"/>
              <w:left w:val="single" w:color="000000" w:sz="6"/>
              <w:bottom w:val="single" w:color="000000" w:sz="6"/>
              <w:right w:val="single" w:color="000000" w:sz="6"/>
            </w:tcBorders>
            <w:shd w:fill="CFE8CF" w:val="clear"/>
            <w:tcMar>
              <w:top w:type="dxa" w:w="60"/>
              <w:left w:type="dxa" w:w="100"/>
              <w:bottom w:type="dxa" w:w="60"/>
              <w:right w:type="dxa" w:w="100"/>
            </w:tcMar>
          </w:tcPr>
          <w:p>
            <w:r>
              <w:rPr>
                <w:rFonts w:ascii="Times New Roman" w:cs="Times New Roman" w:eastAsia="Times New Roman" w:hAnsi="Times New Roman"/>
                <w:b/>
                <w:bCs/>
                <w:sz w:val="18"/>
                <w:szCs w:val="18"/>
              </w:rPr>
              <w:t xml:space="preserve">LOW  (0 points)</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Category</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Security Deposit</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Rationale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Six months' fee is on the higher side but within Mumbai-region market practice; receipt acknowledged; no forfeiture here (see Clause 8 and 9 for the risky parts).</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Legal basis</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No statutory cap under Maharashtra law for L&amp;L (Model Tenancy Act 2021 not adopted – verify)</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Annotator confidence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medium</w:t>
            </w:r>
          </w:p>
        </w:tc>
      </w:tr>
    </w:tbl>
    <w:p>
      <w:pPr>
        <w:spacing w:after="80"/>
      </w:pPr>
    </w:p>
    <w:p>
      <w:pPr>
        <w:keepNext/>
        <w:spacing w:after="100" w:before="160"/>
      </w:pPr>
      <w:r>
        <w:rPr>
          <w:rFonts w:ascii="Times New Roman" w:cs="Times New Roman" w:eastAsia="Times New Roman" w:hAnsi="Times New Roman"/>
          <w:b/>
          <w:bCs/>
          <w:sz w:val="22"/>
          <w:szCs w:val="22"/>
        </w:rPr>
        <w:t xml:space="preserve">8. DEDUCTIONS FROM AND REFUND OF DEPOSIT</w:t>
      </w:r>
    </w:p>
    <w:p>
      <w:pPr>
        <w:spacing w:after="120" w:line="276"/>
        <w:ind w:left="360"/>
        <w:jc w:val="both"/>
      </w:pPr>
      <w:r>
        <w:rPr>
          <w:rFonts w:ascii="Times New Roman" w:cs="Times New Roman" w:eastAsia="Times New Roman" w:hAnsi="Times New Roman"/>
          <w:sz w:val="22"/>
          <w:szCs w:val="22"/>
        </w:rPr>
        <w:t xml:space="preserve">8.1 Within 30 (thirty) days after the Licensees hand over vacant possession, the Licensor shall refund the Security Deposit after deducting (a) arrears of License Fee and utility dues, and (b) </w:t>
      </w:r>
      <w:r>
        <w:rPr>
          <w:rFonts w:ascii="Times New Roman" w:cs="Times New Roman" w:eastAsia="Times New Roman" w:hAnsi="Times New Roman"/>
          <w:b/>
          <w:bCs/>
          <w:sz w:val="22"/>
          <w:szCs w:val="22"/>
          <w:shd w:fill="FFF2A8" w:val="clear"/>
        </w:rPr>
        <w:t xml:space="preserve">a fixed sum of Rs. 18,000/- towards painting and deep-cleaning, irrespective of the actual condition of the Licensed Premises</w:t>
      </w:r>
      <w:r>
        <w:rPr>
          <w:rFonts w:ascii="Times New Roman" w:cs="Times New Roman" w:eastAsia="Times New Roman" w:hAnsi="Times New Roman"/>
          <w:sz w:val="22"/>
          <w:szCs w:val="22"/>
        </w:rPr>
        <w:t xml:space="preserve">.</w:t>
      </w:r>
    </w:p>
    <w:p>
      <w:pPr>
        <w:spacing w:after="120" w:line="276"/>
        <w:ind w:left="360"/>
        <w:jc w:val="both"/>
      </w:pPr>
      <w:r>
        <w:rPr>
          <w:rFonts w:ascii="Times New Roman" w:cs="Times New Roman" w:eastAsia="Times New Roman" w:hAnsi="Times New Roman"/>
          <w:sz w:val="22"/>
          <w:szCs w:val="22"/>
        </w:rPr>
        <w:t xml:space="preserve">8.2 No interest shall be payable on the Security Deposit. Any further damage shall be recovered from the Licensees at actuals.</w:t>
      </w:r>
    </w:p>
    <w:tbl>
      <w:tblPr>
        <w:tblW w:type="dxa" w:w="864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2000"/>
        <w:gridCol w:w="6640"/>
      </w:tblGrid>
      <w:tr>
        <w:tc>
          <w:tcPr>
            <w:tcW w:type="dxa" w:w="2000"/>
            <w:tcBorders>
              <w:top w:val="single" w:color="000000" w:sz="6"/>
              <w:left w:val="single" w:color="000000" w:sz="6"/>
              <w:bottom w:val="single" w:color="000000" w:sz="6"/>
              <w:right w:val="single" w:color="000000" w:sz="6"/>
            </w:tcBorders>
            <w:shd w:fill="FFF2A8" w:val="clear"/>
            <w:tcMar>
              <w:top w:type="dxa" w:w="60"/>
              <w:left w:type="dxa" w:w="100"/>
              <w:bottom w:type="dxa" w:w="60"/>
              <w:right w:type="dxa" w:w="100"/>
            </w:tcMar>
          </w:tcPr>
          <w:p>
            <w:r>
              <w:rPr>
                <w:rFonts w:ascii="Times New Roman" w:cs="Times New Roman" w:eastAsia="Times New Roman" w:hAnsi="Times New Roman"/>
                <w:b/>
                <w:bCs/>
                <w:sz w:val="18"/>
                <w:szCs w:val="18"/>
              </w:rPr>
              <w:t xml:space="preserve">Expected risk</w:t>
            </w:r>
          </w:p>
        </w:tc>
        <w:tc>
          <w:tcPr>
            <w:tcW w:type="dxa" w:w="6640"/>
            <w:tcBorders>
              <w:top w:val="single" w:color="000000" w:sz="6"/>
              <w:left w:val="single" w:color="000000" w:sz="6"/>
              <w:bottom w:val="single" w:color="000000" w:sz="6"/>
              <w:right w:val="single" w:color="000000" w:sz="6"/>
            </w:tcBorders>
            <w:shd w:fill="FFF2A8" w:val="clear"/>
            <w:tcMar>
              <w:top w:type="dxa" w:w="60"/>
              <w:left w:type="dxa" w:w="100"/>
              <w:bottom w:type="dxa" w:w="60"/>
              <w:right w:type="dxa" w:w="100"/>
            </w:tcMar>
          </w:tcPr>
          <w:p>
            <w:r>
              <w:rPr>
                <w:rFonts w:ascii="Times New Roman" w:cs="Times New Roman" w:eastAsia="Times New Roman" w:hAnsi="Times New Roman"/>
                <w:b/>
                <w:bCs/>
                <w:sz w:val="18"/>
                <w:szCs w:val="18"/>
              </w:rPr>
              <w:t xml:space="preserve">MEDIUM  (-4 points)</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Category</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Security Deposit / Deductions</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Rationale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 flat, non-evidence-based deduction applied even if the flat is returned spotless; ~47% of one month's fee. (Refund period of 30 days is acceptable.)</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Legal basis</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ICA s.74 (only reasonable compensation); rule: fixed deductions without proof of loss</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Safer alternative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Deductions shall be limited to actual, documented dues and damage beyond normal wear and tear, supported by bills.</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Annotator confidence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high</w:t>
            </w:r>
          </w:p>
        </w:tc>
      </w:tr>
    </w:tbl>
    <w:p>
      <w:pPr>
        <w:spacing w:after="80"/>
      </w:pPr>
    </w:p>
    <w:p>
      <w:pPr>
        <w:keepNext/>
        <w:spacing w:after="100" w:before="160"/>
      </w:pPr>
      <w:r>
        <w:rPr>
          <w:rFonts w:ascii="Times New Roman" w:cs="Times New Roman" w:eastAsia="Times New Roman" w:hAnsi="Times New Roman"/>
          <w:b/>
          <w:bCs/>
          <w:sz w:val="22"/>
          <w:szCs w:val="22"/>
        </w:rPr>
        <w:t xml:space="preserve">9. LOCK-IN AND EARLY EXIT</w:t>
      </w:r>
    </w:p>
    <w:p>
      <w:pPr>
        <w:spacing w:after="120" w:line="276"/>
        <w:ind w:left="360"/>
        <w:jc w:val="both"/>
      </w:pPr>
      <w:r>
        <w:rPr>
          <w:rFonts w:ascii="Times New Roman" w:cs="Times New Roman" w:eastAsia="Times New Roman" w:hAnsi="Times New Roman"/>
          <w:sz w:val="22"/>
          <w:szCs w:val="22"/>
        </w:rPr>
        <w:t xml:space="preserve">9.1 The Licensees shall not terminate this Agreement before the expiry of the License Period (the "Lock-in Period").</w:t>
      </w:r>
    </w:p>
    <w:p>
      <w:pPr>
        <w:spacing w:after="120" w:line="276"/>
        <w:ind w:left="360"/>
        <w:jc w:val="both"/>
      </w:pPr>
      <w:r>
        <w:rPr>
          <w:rFonts w:ascii="Times New Roman" w:cs="Times New Roman" w:eastAsia="Times New Roman" w:hAnsi="Times New Roman"/>
          <w:sz w:val="22"/>
          <w:szCs w:val="22"/>
        </w:rPr>
        <w:t xml:space="preserve">9.2 If the Licensees vacate or terminate during the Lock-in Period for any reason whatsoever, </w:t>
      </w:r>
      <w:r>
        <w:rPr>
          <w:rFonts w:ascii="Times New Roman" w:cs="Times New Roman" w:eastAsia="Times New Roman" w:hAnsi="Times New Roman"/>
          <w:b/>
          <w:bCs/>
          <w:sz w:val="22"/>
          <w:szCs w:val="22"/>
          <w:shd w:fill="F8D3A8" w:val="clear"/>
        </w:rPr>
        <w:t xml:space="preserve">the Security Deposit shall stand forfeited in full and the Licensees shall in addition pay the License Fee for the balance of the License Period</w:t>
      </w:r>
      <w:r>
        <w:rPr>
          <w:rFonts w:ascii="Times New Roman" w:cs="Times New Roman" w:eastAsia="Times New Roman" w:hAnsi="Times New Roman"/>
          <w:sz w:val="22"/>
          <w:szCs w:val="22"/>
        </w:rPr>
        <w:t xml:space="preserve">.</w:t>
      </w:r>
    </w:p>
    <w:p>
      <w:pPr>
        <w:spacing w:after="120" w:line="276"/>
        <w:ind w:left="360"/>
        <w:jc w:val="both"/>
      </w:pPr>
      <w:r>
        <w:rPr>
          <w:rFonts w:ascii="Times New Roman" w:cs="Times New Roman" w:eastAsia="Times New Roman" w:hAnsi="Times New Roman"/>
          <w:sz w:val="22"/>
          <w:szCs w:val="22"/>
        </w:rPr>
        <w:t xml:space="preserve">9.3 The Licensor may terminate this Agreement during the License Period only in accordance with Clause 10.</w:t>
      </w:r>
    </w:p>
    <w:tbl>
      <w:tblPr>
        <w:tblW w:type="dxa" w:w="864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2000"/>
        <w:gridCol w:w="6640"/>
      </w:tblGrid>
      <w:tr>
        <w:tc>
          <w:tcPr>
            <w:tcW w:type="dxa" w:w="2000"/>
            <w:tcBorders>
              <w:top w:val="single" w:color="000000" w:sz="6"/>
              <w:left w:val="single" w:color="000000" w:sz="6"/>
              <w:bottom w:val="single" w:color="000000" w:sz="6"/>
              <w:right w:val="single" w:color="000000" w:sz="6"/>
            </w:tcBorders>
            <w:shd w:fill="F8D3A8" w:val="clear"/>
            <w:tcMar>
              <w:top w:type="dxa" w:w="60"/>
              <w:left w:type="dxa" w:w="100"/>
              <w:bottom w:type="dxa" w:w="60"/>
              <w:right w:type="dxa" w:w="100"/>
            </w:tcMar>
          </w:tcPr>
          <w:p>
            <w:r>
              <w:rPr>
                <w:rFonts w:ascii="Times New Roman" w:cs="Times New Roman" w:eastAsia="Times New Roman" w:hAnsi="Times New Roman"/>
                <w:b/>
                <w:bCs/>
                <w:sz w:val="18"/>
                <w:szCs w:val="18"/>
              </w:rPr>
              <w:t xml:space="preserve">Expected risk</w:t>
            </w:r>
          </w:p>
        </w:tc>
        <w:tc>
          <w:tcPr>
            <w:tcW w:type="dxa" w:w="6640"/>
            <w:tcBorders>
              <w:top w:val="single" w:color="000000" w:sz="6"/>
              <w:left w:val="single" w:color="000000" w:sz="6"/>
              <w:bottom w:val="single" w:color="000000" w:sz="6"/>
              <w:right w:val="single" w:color="000000" w:sz="6"/>
            </w:tcBorders>
            <w:shd w:fill="F8D3A8" w:val="clear"/>
            <w:tcMar>
              <w:top w:type="dxa" w:w="60"/>
              <w:left w:type="dxa" w:w="100"/>
              <w:bottom w:type="dxa" w:w="60"/>
              <w:right w:type="dxa" w:w="100"/>
            </w:tcMar>
          </w:tcPr>
          <w:p>
            <w:r>
              <w:rPr>
                <w:rFonts w:ascii="Times New Roman" w:cs="Times New Roman" w:eastAsia="Times New Roman" w:hAnsi="Times New Roman"/>
                <w:b/>
                <w:bCs/>
                <w:sz w:val="18"/>
                <w:szCs w:val="18"/>
              </w:rPr>
              <w:t xml:space="preserve">HIGH  (-10 points)</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Category</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Lock-in / Forfeiture</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Rationale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Lock-in covers the entire term and exit triggers double recovery: 100% forfeiture (six months' fee) PLUS all remaining fees, regardless of the Licensor's actual loss or re-letting. Applies "for any reason whatsoever" – including Licensor's breach.</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Legal basis</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ICA s.74 (penalty vs reasonable compensation); ICA s.23; rule: forfeiture + balance-term recovery</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Safer alternative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The Lock-in Period shall be 6 months. Early exit after that requires 60 days' notice or fee in lieu, and the Security Deposit shall be refunded subject to Clause 8. Neither party shall be penalised for exit due to the other's breach.</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Annotator confidence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high</w:t>
            </w:r>
          </w:p>
        </w:tc>
      </w:tr>
    </w:tbl>
    <w:p>
      <w:pPr>
        <w:spacing w:after="80"/>
      </w:pPr>
    </w:p>
    <w:p>
      <w:pPr>
        <w:keepNext/>
        <w:spacing w:after="100" w:before="160"/>
      </w:pPr>
      <w:r>
        <w:rPr>
          <w:rFonts w:ascii="Times New Roman" w:cs="Times New Roman" w:eastAsia="Times New Roman" w:hAnsi="Times New Roman"/>
          <w:b/>
          <w:bCs/>
          <w:sz w:val="22"/>
          <w:szCs w:val="22"/>
        </w:rPr>
        <w:t xml:space="preserve">10. TERMINATION FOR DEFAULT</w:t>
      </w:r>
    </w:p>
    <w:p>
      <w:pPr>
        <w:spacing w:after="120" w:line="276"/>
        <w:ind w:left="360"/>
        <w:jc w:val="both"/>
      </w:pPr>
      <w:r>
        <w:rPr>
          <w:rFonts w:ascii="Times New Roman" w:cs="Times New Roman" w:eastAsia="Times New Roman" w:hAnsi="Times New Roman"/>
          <w:sz w:val="22"/>
          <w:szCs w:val="22"/>
        </w:rPr>
        <w:t xml:space="preserve">10.1 If the Licensees fail to pay the License Fee for two consecutive months, or commit a material breach of Clause 15, and fail to remedy the default within 15 (fifteen) days of a written notice from the Licensor specifying it, the Licensor may terminate this Agreement by a further written notice.</w:t>
      </w:r>
    </w:p>
    <w:p>
      <w:pPr>
        <w:spacing w:after="120" w:line="276"/>
        <w:ind w:left="360"/>
        <w:jc w:val="both"/>
      </w:pPr>
      <w:r>
        <w:rPr>
          <w:rFonts w:ascii="Times New Roman" w:cs="Times New Roman" w:eastAsia="Times New Roman" w:hAnsi="Times New Roman"/>
          <w:sz w:val="22"/>
          <w:szCs w:val="22"/>
        </w:rPr>
        <w:t xml:space="preserve">10.2 If the Licensor commits a material breach of Clause 19 or Clause 20 and does not remedy it within 15 (fifteen) days of written notice, the Licensees may terminate this Agreement without liability under Clause 9, and the Licensor shall refund the Security Deposit and pro-rata advance License Fee within 15 (fifteen) days.</w:t>
      </w:r>
    </w:p>
    <w:tbl>
      <w:tblPr>
        <w:tblW w:type="dxa" w:w="864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2000"/>
        <w:gridCol w:w="6640"/>
      </w:tblGrid>
      <w:tr>
        <w:tc>
          <w:tcPr>
            <w:tcW w:type="dxa" w:w="2000"/>
            <w:tcBorders>
              <w:top w:val="single" w:color="000000" w:sz="6"/>
              <w:left w:val="single" w:color="000000" w:sz="6"/>
              <w:bottom w:val="single" w:color="000000" w:sz="6"/>
              <w:right w:val="single" w:color="000000" w:sz="6"/>
            </w:tcBorders>
            <w:shd w:fill="CFE8CF" w:val="clear"/>
            <w:tcMar>
              <w:top w:type="dxa" w:w="60"/>
              <w:left w:type="dxa" w:w="100"/>
              <w:bottom w:type="dxa" w:w="60"/>
              <w:right w:type="dxa" w:w="100"/>
            </w:tcMar>
          </w:tcPr>
          <w:p>
            <w:r>
              <w:rPr>
                <w:rFonts w:ascii="Times New Roman" w:cs="Times New Roman" w:eastAsia="Times New Roman" w:hAnsi="Times New Roman"/>
                <w:b/>
                <w:bCs/>
                <w:sz w:val="18"/>
                <w:szCs w:val="18"/>
              </w:rPr>
              <w:t xml:space="preserve">Expected risk</w:t>
            </w:r>
          </w:p>
        </w:tc>
        <w:tc>
          <w:tcPr>
            <w:tcW w:type="dxa" w:w="6640"/>
            <w:tcBorders>
              <w:top w:val="single" w:color="000000" w:sz="6"/>
              <w:left w:val="single" w:color="000000" w:sz="6"/>
              <w:bottom w:val="single" w:color="000000" w:sz="6"/>
              <w:right w:val="single" w:color="000000" w:sz="6"/>
            </w:tcBorders>
            <w:shd w:fill="CFE8CF" w:val="clear"/>
            <w:tcMar>
              <w:top w:type="dxa" w:w="60"/>
              <w:left w:type="dxa" w:w="100"/>
              <w:bottom w:type="dxa" w:w="60"/>
              <w:right w:type="dxa" w:w="100"/>
            </w:tcMar>
          </w:tcPr>
          <w:p>
            <w:r>
              <w:rPr>
                <w:rFonts w:ascii="Times New Roman" w:cs="Times New Roman" w:eastAsia="Times New Roman" w:hAnsi="Times New Roman"/>
                <w:b/>
                <w:bCs/>
                <w:sz w:val="18"/>
                <w:szCs w:val="18"/>
              </w:rPr>
              <w:t xml:space="preserve">LOW  (0 points)</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Category</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Termination for Breach</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Rationale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Mutual, notice-and-cure termination. NOTE: this gives a Licensee exit right that Clause 9.2 ("for any reason whatsoever") contradicts, and the notice-and-cure protection is overridden by Clause 11.</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Legal basis</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ICA s.39 (repudiation); Easements Act ss.60–63</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Annotator confidence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high</w:t>
            </w:r>
          </w:p>
        </w:tc>
      </w:tr>
    </w:tbl>
    <w:p>
      <w:pPr>
        <w:spacing w:after="80"/>
      </w:pPr>
    </w:p>
    <w:p>
      <w:pPr>
        <w:keepNext/>
        <w:spacing w:after="100" w:before="160"/>
      </w:pPr>
      <w:r>
        <w:rPr>
          <w:rFonts w:ascii="Times New Roman" w:cs="Times New Roman" w:eastAsia="Times New Roman" w:hAnsi="Times New Roman"/>
          <w:b/>
          <w:bCs/>
          <w:sz w:val="22"/>
          <w:szCs w:val="22"/>
        </w:rPr>
        <w:t xml:space="preserve">11. RIGHT OF RE-ENTRY</w:t>
      </w:r>
    </w:p>
    <w:p>
      <w:pPr>
        <w:spacing w:after="120" w:line="276"/>
        <w:ind w:left="360"/>
        <w:jc w:val="both"/>
      </w:pPr>
      <w:r>
        <w:rPr>
          <w:rFonts w:ascii="Times New Roman" w:cs="Times New Roman" w:eastAsia="Times New Roman" w:hAnsi="Times New Roman"/>
          <w:sz w:val="22"/>
          <w:szCs w:val="22"/>
        </w:rPr>
        <w:t xml:space="preserve">11.1 If any amount due from the Licensees remains unpaid for 3 (three) days after its due date, the Licensor or his Attorney may, </w:t>
      </w:r>
      <w:r>
        <w:rPr>
          <w:rFonts w:ascii="Times New Roman" w:cs="Times New Roman" w:eastAsia="Times New Roman" w:hAnsi="Times New Roman"/>
          <w:b/>
          <w:bCs/>
          <w:sz w:val="22"/>
          <w:szCs w:val="22"/>
          <w:shd w:fill="F4B6B6" w:val="clear"/>
        </w:rPr>
        <w:t xml:space="preserve">without notice and without recourse to any court, enter the Licensed Premises, change the locks, take over possession</w:t>
      </w:r>
      <w:r>
        <w:rPr>
          <w:rFonts w:ascii="Times New Roman" w:cs="Times New Roman" w:eastAsia="Times New Roman" w:hAnsi="Times New Roman"/>
          <w:sz w:val="22"/>
          <w:szCs w:val="22"/>
        </w:rPr>
        <w:t xml:space="preserve">, and treat the licence as terminated.</w:t>
      </w:r>
    </w:p>
    <w:p>
      <w:pPr>
        <w:spacing w:after="120" w:line="276"/>
        <w:ind w:left="360"/>
        <w:jc w:val="both"/>
      </w:pPr>
      <w:r>
        <w:rPr>
          <w:rFonts w:ascii="Times New Roman" w:cs="Times New Roman" w:eastAsia="Times New Roman" w:hAnsi="Times New Roman"/>
          <w:sz w:val="22"/>
          <w:szCs w:val="22"/>
        </w:rPr>
        <w:t xml:space="preserve">11.2 The Licensor may remove the belongings of the Licensees from the Licensed Premises and, if not collected within 7 (seven) days, sell or dispose of them in any manner and apply the proceeds towards the dues. The Licensees shall have no claim for loss or damage to such belongings.</w:t>
      </w:r>
    </w:p>
    <w:tbl>
      <w:tblPr>
        <w:tblW w:type="dxa" w:w="864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2000"/>
        <w:gridCol w:w="6640"/>
      </w:tblGrid>
      <w:tr>
        <w:tc>
          <w:tcPr>
            <w:tcW w:type="dxa" w:w="2000"/>
            <w:tcBorders>
              <w:top w:val="single" w:color="000000" w:sz="6"/>
              <w:left w:val="single" w:color="000000" w:sz="6"/>
              <w:bottom w:val="single" w:color="000000" w:sz="6"/>
              <w:right w:val="single" w:color="000000" w:sz="6"/>
            </w:tcBorders>
            <w:shd w:fill="F4B6B6" w:val="clear"/>
            <w:tcMar>
              <w:top w:type="dxa" w:w="60"/>
              <w:left w:type="dxa" w:w="100"/>
              <w:bottom w:type="dxa" w:w="60"/>
              <w:right w:type="dxa" w:w="100"/>
            </w:tcMar>
          </w:tcPr>
          <w:p>
            <w:r>
              <w:rPr>
                <w:rFonts w:ascii="Times New Roman" w:cs="Times New Roman" w:eastAsia="Times New Roman" w:hAnsi="Times New Roman"/>
                <w:b/>
                <w:bCs/>
                <w:sz w:val="18"/>
                <w:szCs w:val="18"/>
              </w:rPr>
              <w:t xml:space="preserve">Expected risk</w:t>
            </w:r>
          </w:p>
        </w:tc>
        <w:tc>
          <w:tcPr>
            <w:tcW w:type="dxa" w:w="6640"/>
            <w:tcBorders>
              <w:top w:val="single" w:color="000000" w:sz="6"/>
              <w:left w:val="single" w:color="000000" w:sz="6"/>
              <w:bottom w:val="single" w:color="000000" w:sz="6"/>
              <w:right w:val="single" w:color="000000" w:sz="6"/>
            </w:tcBorders>
            <w:shd w:fill="F4B6B6" w:val="clear"/>
            <w:tcMar>
              <w:top w:type="dxa" w:w="60"/>
              <w:left w:type="dxa" w:w="100"/>
              <w:bottom w:type="dxa" w:w="60"/>
              <w:right w:type="dxa" w:w="100"/>
            </w:tcMar>
          </w:tcPr>
          <w:p>
            <w:r>
              <w:rPr>
                <w:rFonts w:ascii="Times New Roman" w:cs="Times New Roman" w:eastAsia="Times New Roman" w:hAnsi="Times New Roman"/>
                <w:b/>
                <w:bCs/>
                <w:sz w:val="18"/>
                <w:szCs w:val="18"/>
              </w:rPr>
              <w:t xml:space="preserve">CRITICAL  (-20 points)</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Category</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Possession / Self-help Eviction</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Rationale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Self-help dispossession, lock-out and disposal of belongings without notice or court order is unlawful in India; it can amount to criminal trespass/mischief and breach of Maharashtra rent law. Waiver of any claim for loss of belongings aggravates it. Contradicts the notice-and-cure in Clause 10.</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Legal basis</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Maharashtra Rent Control Act 1999 (protection against unlawful dispossession – verify section); Specific Relief Act 1963 s.6; BNS 2023 (criminal trespass/mischief – verify sections)</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Safer alternative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The Licensor shall recover possession only through due process of law after termination under Clause 10. The Licensor shall not enter, lock out, or remove or dispose of the Licensees' belongings without a court order.</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Annotator confidence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high</w:t>
            </w:r>
          </w:p>
        </w:tc>
      </w:tr>
    </w:tbl>
    <w:p>
      <w:pPr>
        <w:spacing w:after="80"/>
      </w:pPr>
    </w:p>
    <w:p>
      <w:pPr>
        <w:keepNext/>
        <w:spacing w:after="100" w:before="160"/>
      </w:pPr>
      <w:r>
        <w:rPr>
          <w:rFonts w:ascii="Times New Roman" w:cs="Times New Roman" w:eastAsia="Times New Roman" w:hAnsi="Times New Roman"/>
          <w:b/>
          <w:bCs/>
          <w:sz w:val="22"/>
          <w:szCs w:val="22"/>
        </w:rPr>
        <w:t xml:space="preserve">12. RENEWAL</w:t>
      </w:r>
    </w:p>
    <w:p>
      <w:pPr>
        <w:spacing w:after="120" w:line="276"/>
        <w:ind w:left="360"/>
        <w:jc w:val="both"/>
      </w:pPr>
      <w:r>
        <w:rPr>
          <w:rFonts w:ascii="Times New Roman" w:cs="Times New Roman" w:eastAsia="Times New Roman" w:hAnsi="Times New Roman"/>
          <w:sz w:val="22"/>
          <w:szCs w:val="22"/>
        </w:rPr>
        <w:t xml:space="preserve">12.1 This Agreement may be renewed for a further period of 11 (eleven) months only by mutual written consent, through a fresh Leave and License Agreement that shall be duly stamped and registered.</w:t>
      </w:r>
    </w:p>
    <w:p>
      <w:pPr>
        <w:spacing w:after="120" w:line="276"/>
        <w:ind w:left="360"/>
        <w:jc w:val="both"/>
      </w:pPr>
      <w:r>
        <w:rPr>
          <w:rFonts w:ascii="Times New Roman" w:cs="Times New Roman" w:eastAsia="Times New Roman" w:hAnsi="Times New Roman"/>
          <w:sz w:val="22"/>
          <w:szCs w:val="22"/>
        </w:rPr>
        <w:t xml:space="preserve">12.2 The Licensees may request renewal by written notice not less than 45 (forty-five) days before expiry. The Licensor shall respond in writing within 15 (fifteen) days. On renewal the License Fee shall increase by 8% (eight percent).</w:t>
      </w:r>
    </w:p>
    <w:tbl>
      <w:tblPr>
        <w:tblW w:type="dxa" w:w="864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2000"/>
        <w:gridCol w:w="6640"/>
      </w:tblGrid>
      <w:tr>
        <w:tc>
          <w:tcPr>
            <w:tcW w:type="dxa" w:w="2000"/>
            <w:tcBorders>
              <w:top w:val="single" w:color="000000" w:sz="6"/>
              <w:left w:val="single" w:color="000000" w:sz="6"/>
              <w:bottom w:val="single" w:color="000000" w:sz="6"/>
              <w:right w:val="single" w:color="000000" w:sz="6"/>
            </w:tcBorders>
            <w:shd w:fill="CFE8CF" w:val="clear"/>
            <w:tcMar>
              <w:top w:type="dxa" w:w="60"/>
              <w:left w:type="dxa" w:w="100"/>
              <w:bottom w:type="dxa" w:w="60"/>
              <w:right w:type="dxa" w:w="100"/>
            </w:tcMar>
          </w:tcPr>
          <w:p>
            <w:r>
              <w:rPr>
                <w:rFonts w:ascii="Times New Roman" w:cs="Times New Roman" w:eastAsia="Times New Roman" w:hAnsi="Times New Roman"/>
                <w:b/>
                <w:bCs/>
                <w:sz w:val="18"/>
                <w:szCs w:val="18"/>
              </w:rPr>
              <w:t xml:space="preserve">Expected risk</w:t>
            </w:r>
          </w:p>
        </w:tc>
        <w:tc>
          <w:tcPr>
            <w:tcW w:type="dxa" w:w="6640"/>
            <w:tcBorders>
              <w:top w:val="single" w:color="000000" w:sz="6"/>
              <w:left w:val="single" w:color="000000" w:sz="6"/>
              <w:bottom w:val="single" w:color="000000" w:sz="6"/>
              <w:right w:val="single" w:color="000000" w:sz="6"/>
            </w:tcBorders>
            <w:shd w:fill="CFE8CF" w:val="clear"/>
            <w:tcMar>
              <w:top w:type="dxa" w:w="60"/>
              <w:left w:type="dxa" w:w="100"/>
              <w:bottom w:type="dxa" w:w="60"/>
              <w:right w:type="dxa" w:w="100"/>
            </w:tcMar>
          </w:tcPr>
          <w:p>
            <w:r>
              <w:rPr>
                <w:rFonts w:ascii="Times New Roman" w:cs="Times New Roman" w:eastAsia="Times New Roman" w:hAnsi="Times New Roman"/>
                <w:b/>
                <w:bCs/>
                <w:sz w:val="18"/>
                <w:szCs w:val="18"/>
              </w:rPr>
              <w:t xml:space="preserve">LOW  (0 points)</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Category</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Renewal / Escalation</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Rationale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Mutual consent, reasonable notice and a stated, modest escalation. Not auto-renewing (compare with an auto-renew + 15% clause, which would be MEDIUM).</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Legal basis</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Registration Act 1908; MRCA 1999 s.55</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Annotator confidence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high</w:t>
            </w:r>
          </w:p>
        </w:tc>
      </w:tr>
    </w:tbl>
    <w:p>
      <w:pPr>
        <w:spacing w:after="80"/>
      </w:pPr>
    </w:p>
    <w:p>
      <w:pPr>
        <w:keepNext/>
        <w:spacing w:after="100" w:before="160"/>
      </w:pPr>
      <w:r>
        <w:rPr>
          <w:rFonts w:ascii="Times New Roman" w:cs="Times New Roman" w:eastAsia="Times New Roman" w:hAnsi="Times New Roman"/>
          <w:b/>
          <w:bCs/>
          <w:sz w:val="22"/>
          <w:szCs w:val="22"/>
        </w:rPr>
        <w:t xml:space="preserve">13. SOCIETY CHARGES AND UTILITIES</w:t>
      </w:r>
    </w:p>
    <w:p>
      <w:pPr>
        <w:spacing w:after="120" w:line="276"/>
        <w:ind w:left="360"/>
        <w:jc w:val="both"/>
      </w:pPr>
      <w:r>
        <w:rPr>
          <w:rFonts w:ascii="Times New Roman" w:cs="Times New Roman" w:eastAsia="Times New Roman" w:hAnsi="Times New Roman"/>
          <w:sz w:val="22"/>
          <w:szCs w:val="22"/>
        </w:rPr>
        <w:t xml:space="preserve">13.1 The Licensees shall pay, per actual consumption and by the due dates, electricity (MSEDCL Consumer No. 021500876543), piped gas (Mahanagar Gas CA No. 7000123456), water, internet and cable charges.</w:t>
      </w:r>
    </w:p>
    <w:p>
      <w:pPr>
        <w:spacing w:after="120" w:line="276"/>
        <w:ind w:left="360"/>
        <w:jc w:val="both"/>
      </w:pPr>
      <w:r>
        <w:rPr>
          <w:rFonts w:ascii="Times New Roman" w:cs="Times New Roman" w:eastAsia="Times New Roman" w:hAnsi="Times New Roman"/>
          <w:sz w:val="22"/>
          <w:szCs w:val="22"/>
        </w:rPr>
        <w:t xml:space="preserve">13.2 The Licensees shall pay the monthly Society maintenance charge of Rs. 3,400/- to the Society. Property tax, redevelopment or sinking-fund contributions, and non-occupancy or transfer charges levied by the Society on the owner shall be borne by the Licensor.</w:t>
      </w:r>
    </w:p>
    <w:p>
      <w:pPr>
        <w:spacing w:after="120" w:line="276"/>
        <w:ind w:left="360"/>
        <w:jc w:val="both"/>
      </w:pPr>
      <w:r>
        <w:rPr>
          <w:rFonts w:ascii="Times New Roman" w:cs="Times New Roman" w:eastAsia="Times New Roman" w:hAnsi="Times New Roman"/>
          <w:sz w:val="22"/>
          <w:szCs w:val="22"/>
        </w:rPr>
        <w:t xml:space="preserve">13.3 The Licensor shall ensure that Society dues up to 31st December 2026 are fully paid and shall give the Licensees the Society's no-dues letter on request.</w:t>
      </w:r>
    </w:p>
    <w:tbl>
      <w:tblPr>
        <w:tblW w:type="dxa" w:w="864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2000"/>
        <w:gridCol w:w="6640"/>
      </w:tblGrid>
      <w:tr>
        <w:tc>
          <w:tcPr>
            <w:tcW w:type="dxa" w:w="2000"/>
            <w:tcBorders>
              <w:top w:val="single" w:color="000000" w:sz="6"/>
              <w:left w:val="single" w:color="000000" w:sz="6"/>
              <w:bottom w:val="single" w:color="000000" w:sz="6"/>
              <w:right w:val="single" w:color="000000" w:sz="6"/>
            </w:tcBorders>
            <w:shd w:fill="CFE8CF" w:val="clear"/>
            <w:tcMar>
              <w:top w:type="dxa" w:w="60"/>
              <w:left w:type="dxa" w:w="100"/>
              <w:bottom w:type="dxa" w:w="60"/>
              <w:right w:type="dxa" w:w="100"/>
            </w:tcMar>
          </w:tcPr>
          <w:p>
            <w:r>
              <w:rPr>
                <w:rFonts w:ascii="Times New Roman" w:cs="Times New Roman" w:eastAsia="Times New Roman" w:hAnsi="Times New Roman"/>
                <w:b/>
                <w:bCs/>
                <w:sz w:val="18"/>
                <w:szCs w:val="18"/>
              </w:rPr>
              <w:t xml:space="preserve">Expected risk</w:t>
            </w:r>
          </w:p>
        </w:tc>
        <w:tc>
          <w:tcPr>
            <w:tcW w:type="dxa" w:w="6640"/>
            <w:tcBorders>
              <w:top w:val="single" w:color="000000" w:sz="6"/>
              <w:left w:val="single" w:color="000000" w:sz="6"/>
              <w:bottom w:val="single" w:color="000000" w:sz="6"/>
              <w:right w:val="single" w:color="000000" w:sz="6"/>
            </w:tcBorders>
            <w:shd w:fill="CFE8CF" w:val="clear"/>
            <w:tcMar>
              <w:top w:type="dxa" w:w="60"/>
              <w:left w:type="dxa" w:w="100"/>
              <w:bottom w:type="dxa" w:w="60"/>
              <w:right w:type="dxa" w:w="100"/>
            </w:tcMar>
          </w:tcPr>
          <w:p>
            <w:r>
              <w:rPr>
                <w:rFonts w:ascii="Times New Roman" w:cs="Times New Roman" w:eastAsia="Times New Roman" w:hAnsi="Times New Roman"/>
                <w:b/>
                <w:bCs/>
                <w:sz w:val="18"/>
                <w:szCs w:val="18"/>
              </w:rPr>
              <w:t xml:space="preserve">LOW  (0 points)</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Category</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Utilities / Outgoings</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Rationale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Clear, fair allocation of recurring vs. owner-level charges.</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Legal basis</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Maharashtra Co-operative Societies Act 1960 and bye-laws (non-occupancy charges)</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Annotator confidence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high</w:t>
            </w:r>
          </w:p>
        </w:tc>
      </w:tr>
    </w:tbl>
    <w:p>
      <w:pPr>
        <w:spacing w:after="80"/>
      </w:pPr>
    </w:p>
    <w:p>
      <w:pPr>
        <w:keepNext/>
        <w:spacing w:after="100" w:before="160"/>
      </w:pPr>
      <w:r>
        <w:rPr>
          <w:rFonts w:ascii="Times New Roman" w:cs="Times New Roman" w:eastAsia="Times New Roman" w:hAnsi="Times New Roman"/>
          <w:b/>
          <w:bCs/>
          <w:sz w:val="22"/>
          <w:szCs w:val="22"/>
        </w:rPr>
        <w:t xml:space="preserve">14. REPAIRS AND MAINTENANCE</w:t>
      </w:r>
    </w:p>
    <w:p>
      <w:pPr>
        <w:spacing w:after="120" w:line="276"/>
        <w:ind w:left="360"/>
        <w:jc w:val="both"/>
      </w:pPr>
      <w:r>
        <w:rPr>
          <w:rFonts w:ascii="Times New Roman" w:cs="Times New Roman" w:eastAsia="Times New Roman" w:hAnsi="Times New Roman"/>
          <w:sz w:val="22"/>
          <w:szCs w:val="22"/>
        </w:rPr>
        <w:t xml:space="preserve">14.1 The Licensor shall bear the cost of structural repairs, waterproofing, seepage, and repairs to concealed plumbing and electrical wiring not caused by the Licensees, and of any defect existing at the start of the License Period.</w:t>
      </w:r>
    </w:p>
    <w:p>
      <w:pPr>
        <w:spacing w:after="120" w:line="276"/>
        <w:ind w:left="360"/>
        <w:jc w:val="both"/>
      </w:pPr>
      <w:r>
        <w:rPr>
          <w:rFonts w:ascii="Times New Roman" w:cs="Times New Roman" w:eastAsia="Times New Roman" w:hAnsi="Times New Roman"/>
          <w:sz w:val="22"/>
          <w:szCs w:val="22"/>
        </w:rPr>
        <w:t xml:space="preserve">14.2 The Licensees shall bear the cost of minor day-to-day repairs arising from their use (including tap washers, bulbs, switches, door handles and servicing of appliances) up to Rs. 2,000/- per incident. Any repair above that amount arising from the Licensees' negligence shall also be borne by them at actuals.</w:t>
      </w:r>
    </w:p>
    <w:p>
      <w:pPr>
        <w:spacing w:after="120" w:line="276"/>
        <w:ind w:left="360"/>
        <w:jc w:val="both"/>
      </w:pPr>
      <w:r>
        <w:rPr>
          <w:rFonts w:ascii="Times New Roman" w:cs="Times New Roman" w:eastAsia="Times New Roman" w:hAnsi="Times New Roman"/>
          <w:sz w:val="22"/>
          <w:szCs w:val="22"/>
        </w:rPr>
        <w:t xml:space="preserve">14.3 The Licensees shall report any major defect to the Licensor promptly, and the Licensor shall arrange repair within a reasonable time.</w:t>
      </w:r>
    </w:p>
    <w:tbl>
      <w:tblPr>
        <w:tblW w:type="dxa" w:w="864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2000"/>
        <w:gridCol w:w="6640"/>
      </w:tblGrid>
      <w:tr>
        <w:tc>
          <w:tcPr>
            <w:tcW w:type="dxa" w:w="2000"/>
            <w:tcBorders>
              <w:top w:val="single" w:color="000000" w:sz="6"/>
              <w:left w:val="single" w:color="000000" w:sz="6"/>
              <w:bottom w:val="single" w:color="000000" w:sz="6"/>
              <w:right w:val="single" w:color="000000" w:sz="6"/>
            </w:tcBorders>
            <w:shd w:fill="CFE8CF" w:val="clear"/>
            <w:tcMar>
              <w:top w:type="dxa" w:w="60"/>
              <w:left w:type="dxa" w:w="100"/>
              <w:bottom w:type="dxa" w:w="60"/>
              <w:right w:type="dxa" w:w="100"/>
            </w:tcMar>
          </w:tcPr>
          <w:p>
            <w:r>
              <w:rPr>
                <w:rFonts w:ascii="Times New Roman" w:cs="Times New Roman" w:eastAsia="Times New Roman" w:hAnsi="Times New Roman"/>
                <w:b/>
                <w:bCs/>
                <w:sz w:val="18"/>
                <w:szCs w:val="18"/>
              </w:rPr>
              <w:t xml:space="preserve">Expected risk</w:t>
            </w:r>
          </w:p>
        </w:tc>
        <w:tc>
          <w:tcPr>
            <w:tcW w:type="dxa" w:w="6640"/>
            <w:tcBorders>
              <w:top w:val="single" w:color="000000" w:sz="6"/>
              <w:left w:val="single" w:color="000000" w:sz="6"/>
              <w:bottom w:val="single" w:color="000000" w:sz="6"/>
              <w:right w:val="single" w:color="000000" w:sz="6"/>
            </w:tcBorders>
            <w:shd w:fill="CFE8CF" w:val="clear"/>
            <w:tcMar>
              <w:top w:type="dxa" w:w="60"/>
              <w:left w:type="dxa" w:w="100"/>
              <w:bottom w:type="dxa" w:w="60"/>
              <w:right w:type="dxa" w:w="100"/>
            </w:tcMar>
          </w:tcPr>
          <w:p>
            <w:r>
              <w:rPr>
                <w:rFonts w:ascii="Times New Roman" w:cs="Times New Roman" w:eastAsia="Times New Roman" w:hAnsi="Times New Roman"/>
                <w:b/>
                <w:bCs/>
                <w:sz w:val="18"/>
                <w:szCs w:val="18"/>
              </w:rPr>
              <w:t xml:space="preserve">LOW  (0 points)</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Category</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Repairs / Maintenance</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Rationale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Balanced, capped allocation. Good counter-example to uncapped "all repairs" clauses.</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Legal basis</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TPA s.108 (by analogy)</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Annotator confidence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high</w:t>
            </w:r>
          </w:p>
        </w:tc>
      </w:tr>
    </w:tbl>
    <w:p>
      <w:pPr>
        <w:spacing w:after="80"/>
      </w:pPr>
    </w:p>
    <w:p>
      <w:pPr>
        <w:keepNext/>
        <w:spacing w:after="100" w:before="160"/>
      </w:pPr>
      <w:r>
        <w:rPr>
          <w:rFonts w:ascii="Times New Roman" w:cs="Times New Roman" w:eastAsia="Times New Roman" w:hAnsi="Times New Roman"/>
          <w:b/>
          <w:bCs/>
          <w:sz w:val="22"/>
          <w:szCs w:val="22"/>
        </w:rPr>
        <w:t xml:space="preserve">15. USE, OCCUPANCY AND GUESTS</w:t>
      </w:r>
    </w:p>
    <w:p>
      <w:pPr>
        <w:spacing w:after="120" w:line="276"/>
        <w:ind w:left="360"/>
        <w:jc w:val="both"/>
      </w:pPr>
      <w:r>
        <w:rPr>
          <w:rFonts w:ascii="Times New Roman" w:cs="Times New Roman" w:eastAsia="Times New Roman" w:hAnsi="Times New Roman"/>
          <w:sz w:val="22"/>
          <w:szCs w:val="22"/>
        </w:rPr>
        <w:t xml:space="preserve">15.1 The Licensed Premises shall be used only as a private residence for the Licensees and their minor daughter. No commercial, professional or illegal activity shall be carried on.</w:t>
      </w:r>
    </w:p>
    <w:p>
      <w:pPr>
        <w:spacing w:after="120" w:line="276"/>
        <w:ind w:left="360"/>
        <w:jc w:val="both"/>
      </w:pPr>
      <w:r>
        <w:rPr>
          <w:rFonts w:ascii="Times New Roman" w:cs="Times New Roman" w:eastAsia="Times New Roman" w:hAnsi="Times New Roman"/>
          <w:sz w:val="22"/>
          <w:szCs w:val="22"/>
        </w:rPr>
        <w:t xml:space="preserve">15.2 The Licensees shall not sub-license, assign or part with possession. Guests may stay for up to 15 (fifteen) consecutive days without consent; longer stays need the Licensor's prior written consent, not to be unreasonably withheld.</w:t>
      </w:r>
    </w:p>
    <w:p>
      <w:pPr>
        <w:spacing w:after="120" w:line="276"/>
        <w:ind w:left="360"/>
        <w:jc w:val="both"/>
      </w:pPr>
      <w:r>
        <w:rPr>
          <w:rFonts w:ascii="Times New Roman" w:cs="Times New Roman" w:eastAsia="Times New Roman" w:hAnsi="Times New Roman"/>
          <w:sz w:val="22"/>
          <w:szCs w:val="22"/>
        </w:rPr>
        <w:t xml:space="preserve">15.3 Pets are permitted only with the Society's approval. The Licensees shall comply with Society rules on noise, parking, waste disposal and use of common areas.</w:t>
      </w:r>
    </w:p>
    <w:tbl>
      <w:tblPr>
        <w:tblW w:type="dxa" w:w="864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2000"/>
        <w:gridCol w:w="6640"/>
      </w:tblGrid>
      <w:tr>
        <w:tc>
          <w:tcPr>
            <w:tcW w:type="dxa" w:w="2000"/>
            <w:tcBorders>
              <w:top w:val="single" w:color="000000" w:sz="6"/>
              <w:left w:val="single" w:color="000000" w:sz="6"/>
              <w:bottom w:val="single" w:color="000000" w:sz="6"/>
              <w:right w:val="single" w:color="000000" w:sz="6"/>
            </w:tcBorders>
            <w:shd w:fill="CFE8CF" w:val="clear"/>
            <w:tcMar>
              <w:top w:type="dxa" w:w="60"/>
              <w:left w:type="dxa" w:w="100"/>
              <w:bottom w:type="dxa" w:w="60"/>
              <w:right w:type="dxa" w:w="100"/>
            </w:tcMar>
          </w:tcPr>
          <w:p>
            <w:r>
              <w:rPr>
                <w:rFonts w:ascii="Times New Roman" w:cs="Times New Roman" w:eastAsia="Times New Roman" w:hAnsi="Times New Roman"/>
                <w:b/>
                <w:bCs/>
                <w:sz w:val="18"/>
                <w:szCs w:val="18"/>
              </w:rPr>
              <w:t xml:space="preserve">Expected risk</w:t>
            </w:r>
          </w:p>
        </w:tc>
        <w:tc>
          <w:tcPr>
            <w:tcW w:type="dxa" w:w="6640"/>
            <w:tcBorders>
              <w:top w:val="single" w:color="000000" w:sz="6"/>
              <w:left w:val="single" w:color="000000" w:sz="6"/>
              <w:bottom w:val="single" w:color="000000" w:sz="6"/>
              <w:right w:val="single" w:color="000000" w:sz="6"/>
            </w:tcBorders>
            <w:shd w:fill="CFE8CF" w:val="clear"/>
            <w:tcMar>
              <w:top w:type="dxa" w:w="60"/>
              <w:left w:type="dxa" w:w="100"/>
              <w:bottom w:type="dxa" w:w="60"/>
              <w:right w:type="dxa" w:w="100"/>
            </w:tcMar>
          </w:tcPr>
          <w:p>
            <w:r>
              <w:rPr>
                <w:rFonts w:ascii="Times New Roman" w:cs="Times New Roman" w:eastAsia="Times New Roman" w:hAnsi="Times New Roman"/>
                <w:b/>
                <w:bCs/>
                <w:sz w:val="18"/>
                <w:szCs w:val="18"/>
              </w:rPr>
              <w:t xml:space="preserve">LOW  (0 points)</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Category</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Use / Restrictions</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Rationale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Ordinary, reasonable use restrictions with a reasonableness standard.</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Legal basis</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Society bye-laws</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Annotator confidence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high</w:t>
            </w:r>
          </w:p>
        </w:tc>
      </w:tr>
    </w:tbl>
    <w:p>
      <w:pPr>
        <w:spacing w:after="80"/>
      </w:pPr>
    </w:p>
    <w:p>
      <w:pPr>
        <w:keepNext/>
        <w:spacing w:after="100" w:before="160"/>
      </w:pPr>
      <w:r>
        <w:rPr>
          <w:rFonts w:ascii="Times New Roman" w:cs="Times New Roman" w:eastAsia="Times New Roman" w:hAnsi="Times New Roman"/>
          <w:b/>
          <w:bCs/>
          <w:sz w:val="22"/>
          <w:szCs w:val="22"/>
        </w:rPr>
        <w:t xml:space="preserve">16. FOOD AND HOUSEHOLD PRACTICES</w:t>
      </w:r>
    </w:p>
    <w:p>
      <w:pPr>
        <w:spacing w:after="120" w:line="276"/>
        <w:ind w:left="360"/>
        <w:jc w:val="both"/>
      </w:pPr>
      <w:r>
        <w:rPr>
          <w:rFonts w:ascii="Times New Roman" w:cs="Times New Roman" w:eastAsia="Times New Roman" w:hAnsi="Times New Roman"/>
          <w:sz w:val="22"/>
          <w:szCs w:val="22"/>
        </w:rPr>
        <w:t xml:space="preserve">16.1 The Licensees </w:t>
      </w:r>
      <w:r>
        <w:rPr>
          <w:rFonts w:ascii="Times New Roman" w:cs="Times New Roman" w:eastAsia="Times New Roman" w:hAnsi="Times New Roman"/>
          <w:b/>
          <w:bCs/>
          <w:sz w:val="22"/>
          <w:szCs w:val="22"/>
          <w:shd w:fill="FFF2A8" w:val="clear"/>
        </w:rPr>
        <w:t xml:space="preserve">shall not cook, store, bring or consume non-vegetarian food or eggs in the Licensed Premises</w:t>
      </w:r>
      <w:r>
        <w:rPr>
          <w:rFonts w:ascii="Times New Roman" w:cs="Times New Roman" w:eastAsia="Times New Roman" w:hAnsi="Times New Roman"/>
          <w:sz w:val="22"/>
          <w:szCs w:val="22"/>
        </w:rPr>
        <w:t xml:space="preserve">, and shall not organise any religious or social gathering without the Licensor's prior written permission.</w:t>
      </w:r>
    </w:p>
    <w:p>
      <w:pPr>
        <w:spacing w:after="120" w:line="276"/>
        <w:ind w:left="360"/>
        <w:jc w:val="both"/>
      </w:pPr>
      <w:r>
        <w:rPr>
          <w:rFonts w:ascii="Times New Roman" w:cs="Times New Roman" w:eastAsia="Times New Roman" w:hAnsi="Times New Roman"/>
          <w:sz w:val="22"/>
          <w:szCs w:val="22"/>
        </w:rPr>
        <w:t xml:space="preserve">16.2 Breach of this Clause shall be treated as a material breach of Clause 15.</w:t>
      </w:r>
    </w:p>
    <w:tbl>
      <w:tblPr>
        <w:tblW w:type="dxa" w:w="864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2000"/>
        <w:gridCol w:w="6640"/>
      </w:tblGrid>
      <w:tr>
        <w:tc>
          <w:tcPr>
            <w:tcW w:type="dxa" w:w="2000"/>
            <w:tcBorders>
              <w:top w:val="single" w:color="000000" w:sz="6"/>
              <w:left w:val="single" w:color="000000" w:sz="6"/>
              <w:bottom w:val="single" w:color="000000" w:sz="6"/>
              <w:right w:val="single" w:color="000000" w:sz="6"/>
            </w:tcBorders>
            <w:shd w:fill="FFF2A8" w:val="clear"/>
            <w:tcMar>
              <w:top w:type="dxa" w:w="60"/>
              <w:left w:type="dxa" w:w="100"/>
              <w:bottom w:type="dxa" w:w="60"/>
              <w:right w:type="dxa" w:w="100"/>
            </w:tcMar>
          </w:tcPr>
          <w:p>
            <w:r>
              <w:rPr>
                <w:rFonts w:ascii="Times New Roman" w:cs="Times New Roman" w:eastAsia="Times New Roman" w:hAnsi="Times New Roman"/>
                <w:b/>
                <w:bCs/>
                <w:sz w:val="18"/>
                <w:szCs w:val="18"/>
              </w:rPr>
              <w:t xml:space="preserve">Expected risk</w:t>
            </w:r>
          </w:p>
        </w:tc>
        <w:tc>
          <w:tcPr>
            <w:tcW w:type="dxa" w:w="6640"/>
            <w:tcBorders>
              <w:top w:val="single" w:color="000000" w:sz="6"/>
              <w:left w:val="single" w:color="000000" w:sz="6"/>
              <w:bottom w:val="single" w:color="000000" w:sz="6"/>
              <w:right w:val="single" w:color="000000" w:sz="6"/>
            </w:tcBorders>
            <w:shd w:fill="FFF2A8" w:val="clear"/>
            <w:tcMar>
              <w:top w:type="dxa" w:w="60"/>
              <w:left w:type="dxa" w:w="100"/>
              <w:bottom w:type="dxa" w:w="60"/>
              <w:right w:type="dxa" w:w="100"/>
            </w:tcMar>
          </w:tcPr>
          <w:p>
            <w:r>
              <w:rPr>
                <w:rFonts w:ascii="Times New Roman" w:cs="Times New Roman" w:eastAsia="Times New Roman" w:hAnsi="Times New Roman"/>
                <w:b/>
                <w:bCs/>
                <w:sz w:val="18"/>
                <w:szCs w:val="18"/>
              </w:rPr>
              <w:t xml:space="preserve">MEDIUM  (-4 points)</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Category</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Use / Restrictions (Discriminatory)</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Rationale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Intrusive dietary restriction that can operate as community-based discrimination and is unrelated to protecting the property; combined with the "material breach" tag it can be used to terminate. Typical real-world Mumbai-region clause. Tests whether the system catches risks outside price/penalty keywords.</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Legal basis</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Constitution Art. 14, 15, 21 (State action; persuasive for private terms); ICA s.23 (public policy) – enforceability uncertain; verify with a lawyer</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Safer alternative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The Licensees shall use the Licensed Premises lawfully and in compliance with the Society's bye-laws. No restriction on lawful food habits shall apply.</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Annotator confidence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medium</w:t>
            </w:r>
          </w:p>
        </w:tc>
      </w:tr>
    </w:tbl>
    <w:p>
      <w:pPr>
        <w:spacing w:after="80"/>
      </w:pPr>
    </w:p>
    <w:p>
      <w:pPr>
        <w:keepNext/>
        <w:spacing w:after="100" w:before="160"/>
      </w:pPr>
      <w:r>
        <w:rPr>
          <w:rFonts w:ascii="Times New Roman" w:cs="Times New Roman" w:eastAsia="Times New Roman" w:hAnsi="Times New Roman"/>
          <w:b/>
          <w:bCs/>
          <w:sz w:val="22"/>
          <w:szCs w:val="22"/>
        </w:rPr>
        <w:t xml:space="preserve">17. INSPECTION AND ACCESS</w:t>
      </w:r>
    </w:p>
    <w:p>
      <w:pPr>
        <w:spacing w:after="120" w:line="276"/>
        <w:ind w:left="360"/>
        <w:jc w:val="both"/>
      </w:pPr>
      <w:r>
        <w:rPr>
          <w:rFonts w:ascii="Times New Roman" w:cs="Times New Roman" w:eastAsia="Times New Roman" w:hAnsi="Times New Roman"/>
          <w:sz w:val="22"/>
          <w:szCs w:val="22"/>
        </w:rPr>
        <w:t xml:space="preserve">17.1 The Licensor or his Attorney may inspect the Licensed Premises once in every month, between 11 a.m. and 5 p.m., on 48 (forty-eight) hours' prior notice, and may enter at other times only in a genuine emergency (fire, leakage, gas smell).</w:t>
      </w:r>
    </w:p>
    <w:p>
      <w:pPr>
        <w:spacing w:after="120" w:line="276"/>
        <w:ind w:left="360"/>
        <w:jc w:val="both"/>
      </w:pPr>
      <w:r>
        <w:rPr>
          <w:rFonts w:ascii="Times New Roman" w:cs="Times New Roman" w:eastAsia="Times New Roman" w:hAnsi="Times New Roman"/>
          <w:sz w:val="22"/>
          <w:szCs w:val="22"/>
        </w:rPr>
        <w:t xml:space="preserve">17.2 During the last 30 (thirty) days of the License Period, the Licensor may show the Licensed Premises to prospective licensees at reasonable hours on 24 (twenty-four) hours' prior notice.</w:t>
      </w:r>
    </w:p>
    <w:tbl>
      <w:tblPr>
        <w:tblW w:type="dxa" w:w="864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2000"/>
        <w:gridCol w:w="6640"/>
      </w:tblGrid>
      <w:tr>
        <w:tc>
          <w:tcPr>
            <w:tcW w:type="dxa" w:w="2000"/>
            <w:tcBorders>
              <w:top w:val="single" w:color="000000" w:sz="6"/>
              <w:left w:val="single" w:color="000000" w:sz="6"/>
              <w:bottom w:val="single" w:color="000000" w:sz="6"/>
              <w:right w:val="single" w:color="000000" w:sz="6"/>
            </w:tcBorders>
            <w:shd w:fill="CFE8CF" w:val="clear"/>
            <w:tcMar>
              <w:top w:type="dxa" w:w="60"/>
              <w:left w:type="dxa" w:w="100"/>
              <w:bottom w:type="dxa" w:w="60"/>
              <w:right w:type="dxa" w:w="100"/>
            </w:tcMar>
          </w:tcPr>
          <w:p>
            <w:r>
              <w:rPr>
                <w:rFonts w:ascii="Times New Roman" w:cs="Times New Roman" w:eastAsia="Times New Roman" w:hAnsi="Times New Roman"/>
                <w:b/>
                <w:bCs/>
                <w:sz w:val="18"/>
                <w:szCs w:val="18"/>
              </w:rPr>
              <w:t xml:space="preserve">Expected risk</w:t>
            </w:r>
          </w:p>
        </w:tc>
        <w:tc>
          <w:tcPr>
            <w:tcW w:type="dxa" w:w="6640"/>
            <w:tcBorders>
              <w:top w:val="single" w:color="000000" w:sz="6"/>
              <w:left w:val="single" w:color="000000" w:sz="6"/>
              <w:bottom w:val="single" w:color="000000" w:sz="6"/>
              <w:right w:val="single" w:color="000000" w:sz="6"/>
            </w:tcBorders>
            <w:shd w:fill="CFE8CF" w:val="clear"/>
            <w:tcMar>
              <w:top w:type="dxa" w:w="60"/>
              <w:left w:type="dxa" w:w="100"/>
              <w:bottom w:type="dxa" w:w="60"/>
              <w:right w:type="dxa" w:w="100"/>
            </w:tcMar>
          </w:tcPr>
          <w:p>
            <w:r>
              <w:rPr>
                <w:rFonts w:ascii="Times New Roman" w:cs="Times New Roman" w:eastAsia="Times New Roman" w:hAnsi="Times New Roman"/>
                <w:b/>
                <w:bCs/>
                <w:sz w:val="18"/>
                <w:szCs w:val="18"/>
              </w:rPr>
              <w:t xml:space="preserve">LOW  (0 points)</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Category</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Inspection / Privacy</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Rationale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Defined frequency, hours and notice, with a narrow emergency exception. Contrast with "any time, 2 hours' notice".</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Legal basis</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TPA s.108 (quiet enjoyment, by analogy)</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Annotator confidence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high</w:t>
            </w:r>
          </w:p>
        </w:tc>
      </w:tr>
    </w:tbl>
    <w:p>
      <w:pPr>
        <w:spacing w:after="80"/>
      </w:pPr>
    </w:p>
    <w:p>
      <w:pPr>
        <w:keepNext/>
        <w:spacing w:after="100" w:before="160"/>
      </w:pPr>
      <w:r>
        <w:rPr>
          <w:rFonts w:ascii="Times New Roman" w:cs="Times New Roman" w:eastAsia="Times New Roman" w:hAnsi="Times New Roman"/>
          <w:b/>
          <w:bCs/>
          <w:sz w:val="22"/>
          <w:szCs w:val="22"/>
        </w:rPr>
        <w:t xml:space="preserve">18. ALTERATIONS</w:t>
      </w:r>
    </w:p>
    <w:p>
      <w:pPr>
        <w:spacing w:after="120" w:line="276"/>
        <w:ind w:left="360"/>
        <w:jc w:val="both"/>
      </w:pPr>
      <w:r>
        <w:rPr>
          <w:rFonts w:ascii="Times New Roman" w:cs="Times New Roman" w:eastAsia="Times New Roman" w:hAnsi="Times New Roman"/>
          <w:sz w:val="22"/>
          <w:szCs w:val="22"/>
        </w:rPr>
        <w:t xml:space="preserve">18.1 The Licensees shall not make structural alterations, break walls, change fittings or drill into load-bearing elements without prior written consent.</w:t>
      </w:r>
    </w:p>
    <w:p>
      <w:pPr>
        <w:spacing w:after="120" w:line="276"/>
        <w:ind w:left="360"/>
        <w:jc w:val="both"/>
      </w:pPr>
      <w:r>
        <w:rPr>
          <w:rFonts w:ascii="Times New Roman" w:cs="Times New Roman" w:eastAsia="Times New Roman" w:hAnsi="Times New Roman"/>
          <w:sz w:val="22"/>
          <w:szCs w:val="22"/>
        </w:rPr>
        <w:t xml:space="preserve">18.2 Minor, reversible installations (curtain rods, shelves, wall-mounted TV) are permitted, and the Licensees shall repair any holes at the end of the licence.</w:t>
      </w:r>
    </w:p>
    <w:tbl>
      <w:tblPr>
        <w:tblW w:type="dxa" w:w="864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2000"/>
        <w:gridCol w:w="6640"/>
      </w:tblGrid>
      <w:tr>
        <w:tc>
          <w:tcPr>
            <w:tcW w:type="dxa" w:w="2000"/>
            <w:tcBorders>
              <w:top w:val="single" w:color="000000" w:sz="6"/>
              <w:left w:val="single" w:color="000000" w:sz="6"/>
              <w:bottom w:val="single" w:color="000000" w:sz="6"/>
              <w:right w:val="single" w:color="000000" w:sz="6"/>
            </w:tcBorders>
            <w:shd w:fill="CFE8CF" w:val="clear"/>
            <w:tcMar>
              <w:top w:type="dxa" w:w="60"/>
              <w:left w:type="dxa" w:w="100"/>
              <w:bottom w:type="dxa" w:w="60"/>
              <w:right w:type="dxa" w:w="100"/>
            </w:tcMar>
          </w:tcPr>
          <w:p>
            <w:r>
              <w:rPr>
                <w:rFonts w:ascii="Times New Roman" w:cs="Times New Roman" w:eastAsia="Times New Roman" w:hAnsi="Times New Roman"/>
                <w:b/>
                <w:bCs/>
                <w:sz w:val="18"/>
                <w:szCs w:val="18"/>
              </w:rPr>
              <w:t xml:space="preserve">Expected risk</w:t>
            </w:r>
          </w:p>
        </w:tc>
        <w:tc>
          <w:tcPr>
            <w:tcW w:type="dxa" w:w="6640"/>
            <w:tcBorders>
              <w:top w:val="single" w:color="000000" w:sz="6"/>
              <w:left w:val="single" w:color="000000" w:sz="6"/>
              <w:bottom w:val="single" w:color="000000" w:sz="6"/>
              <w:right w:val="single" w:color="000000" w:sz="6"/>
            </w:tcBorders>
            <w:shd w:fill="CFE8CF" w:val="clear"/>
            <w:tcMar>
              <w:top w:type="dxa" w:w="60"/>
              <w:left w:type="dxa" w:w="100"/>
              <w:bottom w:type="dxa" w:w="60"/>
              <w:right w:type="dxa" w:w="100"/>
            </w:tcMar>
          </w:tcPr>
          <w:p>
            <w:r>
              <w:rPr>
                <w:rFonts w:ascii="Times New Roman" w:cs="Times New Roman" w:eastAsia="Times New Roman" w:hAnsi="Times New Roman"/>
                <w:b/>
                <w:bCs/>
                <w:sz w:val="18"/>
                <w:szCs w:val="18"/>
              </w:rPr>
              <w:t xml:space="preserve">LOW  (0 points)</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Category</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Alterations</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Rationale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Reasonable and practical.</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Legal basis</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Society bye-laws</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Annotator confidence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high</w:t>
            </w:r>
          </w:p>
        </w:tc>
      </w:tr>
    </w:tbl>
    <w:p>
      <w:pPr>
        <w:spacing w:after="80"/>
      </w:pPr>
    </w:p>
    <w:p>
      <w:pPr>
        <w:keepNext/>
        <w:spacing w:after="100" w:before="160"/>
      </w:pPr>
      <w:r>
        <w:rPr>
          <w:rFonts w:ascii="Times New Roman" w:cs="Times New Roman" w:eastAsia="Times New Roman" w:hAnsi="Times New Roman"/>
          <w:b/>
          <w:bCs/>
          <w:sz w:val="22"/>
          <w:szCs w:val="22"/>
        </w:rPr>
        <w:t xml:space="preserve">19. AUTHORITY OF LICENSOR AND ATTORNEY</w:t>
      </w:r>
    </w:p>
    <w:p>
      <w:pPr>
        <w:spacing w:after="120" w:line="276"/>
        <w:ind w:left="360"/>
        <w:jc w:val="both"/>
      </w:pPr>
      <w:r>
        <w:rPr>
          <w:rFonts w:ascii="Times New Roman" w:cs="Times New Roman" w:eastAsia="Times New Roman" w:hAnsi="Times New Roman"/>
          <w:sz w:val="22"/>
          <w:szCs w:val="22"/>
        </w:rPr>
        <w:t xml:space="preserve">19.1 The Licensor is the sole owner of the Licensed Premises and has appointed Mr. Nilesh Ramchandra Gawde as his constituted attorney under a registered Power of Attorney dated 12th March 2024 (Document No. THN-4-03127-2024), a copy of which is annexed. The Attorney confirms that the Power of Attorney is valid, subsisting, not revoked and covers the grant of leave and licence.</w:t>
      </w:r>
    </w:p>
    <w:p>
      <w:pPr>
        <w:spacing w:after="120" w:line="276"/>
        <w:ind w:left="360"/>
        <w:jc w:val="both"/>
      </w:pPr>
      <w:r>
        <w:rPr>
          <w:rFonts w:ascii="Times New Roman" w:cs="Times New Roman" w:eastAsia="Times New Roman" w:hAnsi="Times New Roman"/>
          <w:sz w:val="22"/>
          <w:szCs w:val="22"/>
        </w:rPr>
        <w:t xml:space="preserve">19.2 The Licensor and the Attorney jointly warrant that the Licensed Premises are free of encumbrances, attachments and litigation, and that the Society's No Objection Certificate for this licence has been obtained and a copy handed to the Licensees.</w:t>
      </w:r>
    </w:p>
    <w:tbl>
      <w:tblPr>
        <w:tblW w:type="dxa" w:w="864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2000"/>
        <w:gridCol w:w="6640"/>
      </w:tblGrid>
      <w:tr>
        <w:tc>
          <w:tcPr>
            <w:tcW w:type="dxa" w:w="2000"/>
            <w:tcBorders>
              <w:top w:val="single" w:color="000000" w:sz="6"/>
              <w:left w:val="single" w:color="000000" w:sz="6"/>
              <w:bottom w:val="single" w:color="000000" w:sz="6"/>
              <w:right w:val="single" w:color="000000" w:sz="6"/>
            </w:tcBorders>
            <w:shd w:fill="CFE8CF" w:val="clear"/>
            <w:tcMar>
              <w:top w:type="dxa" w:w="60"/>
              <w:left w:type="dxa" w:w="100"/>
              <w:bottom w:type="dxa" w:w="60"/>
              <w:right w:type="dxa" w:w="100"/>
            </w:tcMar>
          </w:tcPr>
          <w:p>
            <w:r>
              <w:rPr>
                <w:rFonts w:ascii="Times New Roman" w:cs="Times New Roman" w:eastAsia="Times New Roman" w:hAnsi="Times New Roman"/>
                <w:b/>
                <w:bCs/>
                <w:sz w:val="18"/>
                <w:szCs w:val="18"/>
              </w:rPr>
              <w:t xml:space="preserve">Expected risk</w:t>
            </w:r>
          </w:p>
        </w:tc>
        <w:tc>
          <w:tcPr>
            <w:tcW w:type="dxa" w:w="6640"/>
            <w:tcBorders>
              <w:top w:val="single" w:color="000000" w:sz="6"/>
              <w:left w:val="single" w:color="000000" w:sz="6"/>
              <w:bottom w:val="single" w:color="000000" w:sz="6"/>
              <w:right w:val="single" w:color="000000" w:sz="6"/>
            </w:tcBorders>
            <w:shd w:fill="CFE8CF" w:val="clear"/>
            <w:tcMar>
              <w:top w:type="dxa" w:w="60"/>
              <w:left w:type="dxa" w:w="100"/>
              <w:bottom w:type="dxa" w:w="60"/>
              <w:right w:type="dxa" w:w="100"/>
            </w:tcMar>
          </w:tcPr>
          <w:p>
            <w:r>
              <w:rPr>
                <w:rFonts w:ascii="Times New Roman" w:cs="Times New Roman" w:eastAsia="Times New Roman" w:hAnsi="Times New Roman"/>
                <w:b/>
                <w:bCs/>
                <w:sz w:val="18"/>
                <w:szCs w:val="18"/>
              </w:rPr>
              <w:t xml:space="preserve">LOW  (0 points)</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Category</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Title &amp; Authority</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Rationale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Title and authority warranties given jointly; attorney's confirmation of POA validity; NOC copy delivered. A good clause that is NOT present in the first specimen.</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Legal basis</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Powers of Attorney Act 1882; Society bye-laws (NOC)</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Annotator confidence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high</w:t>
            </w:r>
          </w:p>
        </w:tc>
      </w:tr>
    </w:tbl>
    <w:p>
      <w:pPr>
        <w:spacing w:after="80"/>
      </w:pPr>
    </w:p>
    <w:p>
      <w:pPr>
        <w:keepNext/>
        <w:spacing w:after="100" w:before="160"/>
      </w:pPr>
      <w:r>
        <w:rPr>
          <w:rFonts w:ascii="Times New Roman" w:cs="Times New Roman" w:eastAsia="Times New Roman" w:hAnsi="Times New Roman"/>
          <w:b/>
          <w:bCs/>
          <w:sz w:val="22"/>
          <w:szCs w:val="22"/>
        </w:rPr>
        <w:t xml:space="preserve">20. LICENSOR'S COVENANTS AND QUIET ENJOYMENT</w:t>
      </w:r>
    </w:p>
    <w:p>
      <w:pPr>
        <w:spacing w:after="120" w:line="276"/>
        <w:ind w:left="360"/>
        <w:jc w:val="both"/>
      </w:pPr>
      <w:r>
        <w:rPr>
          <w:rFonts w:ascii="Times New Roman" w:cs="Times New Roman" w:eastAsia="Times New Roman" w:hAnsi="Times New Roman"/>
          <w:sz w:val="22"/>
          <w:szCs w:val="22"/>
        </w:rPr>
        <w:t xml:space="preserve">20.1 So long as the Licensees pay the License Fee and observe this Agreement, they shall peacefully use the Licensed Premises without interruption by the Licensor or any person claiming through him.</w:t>
      </w:r>
    </w:p>
    <w:p>
      <w:pPr>
        <w:spacing w:after="120" w:line="276"/>
        <w:ind w:left="360"/>
        <w:jc w:val="both"/>
      </w:pPr>
      <w:r>
        <w:rPr>
          <w:rFonts w:ascii="Times New Roman" w:cs="Times New Roman" w:eastAsia="Times New Roman" w:hAnsi="Times New Roman"/>
          <w:sz w:val="22"/>
          <w:szCs w:val="22"/>
        </w:rPr>
        <w:t xml:space="preserve">20.2 The Licensor shall not disconnect or interfere with electricity, water, gas, lift or access to the Licensed Premises, and shall indemnify the Licensees against any Society action caused by the Licensor's default in paying Society dues.</w:t>
      </w:r>
    </w:p>
    <w:tbl>
      <w:tblPr>
        <w:tblW w:type="dxa" w:w="864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2000"/>
        <w:gridCol w:w="6640"/>
      </w:tblGrid>
      <w:tr>
        <w:tc>
          <w:tcPr>
            <w:tcW w:type="dxa" w:w="2000"/>
            <w:tcBorders>
              <w:top w:val="single" w:color="000000" w:sz="6"/>
              <w:left w:val="single" w:color="000000" w:sz="6"/>
              <w:bottom w:val="single" w:color="000000" w:sz="6"/>
              <w:right w:val="single" w:color="000000" w:sz="6"/>
            </w:tcBorders>
            <w:shd w:fill="CFE8CF" w:val="clear"/>
            <w:tcMar>
              <w:top w:type="dxa" w:w="60"/>
              <w:left w:type="dxa" w:w="100"/>
              <w:bottom w:type="dxa" w:w="60"/>
              <w:right w:type="dxa" w:w="100"/>
            </w:tcMar>
          </w:tcPr>
          <w:p>
            <w:r>
              <w:rPr>
                <w:rFonts w:ascii="Times New Roman" w:cs="Times New Roman" w:eastAsia="Times New Roman" w:hAnsi="Times New Roman"/>
                <w:b/>
                <w:bCs/>
                <w:sz w:val="18"/>
                <w:szCs w:val="18"/>
              </w:rPr>
              <w:t xml:space="preserve">Expected risk</w:t>
            </w:r>
          </w:p>
        </w:tc>
        <w:tc>
          <w:tcPr>
            <w:tcW w:type="dxa" w:w="6640"/>
            <w:tcBorders>
              <w:top w:val="single" w:color="000000" w:sz="6"/>
              <w:left w:val="single" w:color="000000" w:sz="6"/>
              <w:bottom w:val="single" w:color="000000" w:sz="6"/>
              <w:right w:val="single" w:color="000000" w:sz="6"/>
            </w:tcBorders>
            <w:shd w:fill="CFE8CF" w:val="clear"/>
            <w:tcMar>
              <w:top w:type="dxa" w:w="60"/>
              <w:left w:type="dxa" w:w="100"/>
              <w:bottom w:type="dxa" w:w="60"/>
              <w:right w:type="dxa" w:w="100"/>
            </w:tcMar>
          </w:tcPr>
          <w:p>
            <w:r>
              <w:rPr>
                <w:rFonts w:ascii="Times New Roman" w:cs="Times New Roman" w:eastAsia="Times New Roman" w:hAnsi="Times New Roman"/>
                <w:b/>
                <w:bCs/>
                <w:sz w:val="18"/>
                <w:szCs w:val="18"/>
              </w:rPr>
              <w:t xml:space="preserve">LOW  (0 points)</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Category</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Quiet Enjoyment</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Rationale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Strong licensee protections including a no-cut-off covenant.</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Legal basis</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MRCA 1999 (no cut-off of essential supplies – verify section)</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Annotator confidence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high</w:t>
            </w:r>
          </w:p>
        </w:tc>
      </w:tr>
    </w:tbl>
    <w:p>
      <w:pPr>
        <w:spacing w:after="80"/>
      </w:pPr>
    </w:p>
    <w:p>
      <w:pPr>
        <w:keepNext/>
        <w:spacing w:after="100" w:before="160"/>
      </w:pPr>
      <w:r>
        <w:rPr>
          <w:rFonts w:ascii="Times New Roman" w:cs="Times New Roman" w:eastAsia="Times New Roman" w:hAnsi="Times New Roman"/>
          <w:b/>
          <w:bCs/>
          <w:sz w:val="22"/>
          <w:szCs w:val="22"/>
        </w:rPr>
        <w:t xml:space="preserve">21. INDEMNITY AND LIABILITY</w:t>
      </w:r>
    </w:p>
    <w:p>
      <w:pPr>
        <w:spacing w:after="120" w:line="276"/>
        <w:ind w:left="360"/>
        <w:jc w:val="both"/>
      </w:pPr>
      <w:r>
        <w:rPr>
          <w:rFonts w:ascii="Times New Roman" w:cs="Times New Roman" w:eastAsia="Times New Roman" w:hAnsi="Times New Roman"/>
          <w:sz w:val="22"/>
          <w:szCs w:val="22"/>
        </w:rPr>
        <w:t xml:space="preserve">21.1 Each party shall indemnify the other against third-party claims and direct losses to the extent caused by its own negligence, wilful default or breach of this Agreement.</w:t>
      </w:r>
    </w:p>
    <w:p>
      <w:pPr>
        <w:spacing w:after="120" w:line="276"/>
        <w:ind w:left="360"/>
        <w:jc w:val="both"/>
      </w:pPr>
      <w:r>
        <w:rPr>
          <w:rFonts w:ascii="Times New Roman" w:cs="Times New Roman" w:eastAsia="Times New Roman" w:hAnsi="Times New Roman"/>
          <w:sz w:val="22"/>
          <w:szCs w:val="22"/>
        </w:rPr>
        <w:t xml:space="preserve">21.2 The Licensees shall be liable for damage to the Licensed Premises or inventory caused by themselves, their family or guests, fair wear and tear excepted. Neither party shall be liable for indirect or consequential loss.</w:t>
      </w:r>
    </w:p>
    <w:tbl>
      <w:tblPr>
        <w:tblW w:type="dxa" w:w="864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2000"/>
        <w:gridCol w:w="6640"/>
      </w:tblGrid>
      <w:tr>
        <w:tc>
          <w:tcPr>
            <w:tcW w:type="dxa" w:w="2000"/>
            <w:tcBorders>
              <w:top w:val="single" w:color="000000" w:sz="6"/>
              <w:left w:val="single" w:color="000000" w:sz="6"/>
              <w:bottom w:val="single" w:color="000000" w:sz="6"/>
              <w:right w:val="single" w:color="000000" w:sz="6"/>
            </w:tcBorders>
            <w:shd w:fill="CFE8CF" w:val="clear"/>
            <w:tcMar>
              <w:top w:type="dxa" w:w="60"/>
              <w:left w:type="dxa" w:w="100"/>
              <w:bottom w:type="dxa" w:w="60"/>
              <w:right w:type="dxa" w:w="100"/>
            </w:tcMar>
          </w:tcPr>
          <w:p>
            <w:r>
              <w:rPr>
                <w:rFonts w:ascii="Times New Roman" w:cs="Times New Roman" w:eastAsia="Times New Roman" w:hAnsi="Times New Roman"/>
                <w:b/>
                <w:bCs/>
                <w:sz w:val="18"/>
                <w:szCs w:val="18"/>
              </w:rPr>
              <w:t xml:space="preserve">Expected risk</w:t>
            </w:r>
          </w:p>
        </w:tc>
        <w:tc>
          <w:tcPr>
            <w:tcW w:type="dxa" w:w="6640"/>
            <w:tcBorders>
              <w:top w:val="single" w:color="000000" w:sz="6"/>
              <w:left w:val="single" w:color="000000" w:sz="6"/>
              <w:bottom w:val="single" w:color="000000" w:sz="6"/>
              <w:right w:val="single" w:color="000000" w:sz="6"/>
            </w:tcBorders>
            <w:shd w:fill="CFE8CF" w:val="clear"/>
            <w:tcMar>
              <w:top w:type="dxa" w:w="60"/>
              <w:left w:type="dxa" w:w="100"/>
              <w:bottom w:type="dxa" w:w="60"/>
              <w:right w:type="dxa" w:w="100"/>
            </w:tcMar>
          </w:tcPr>
          <w:p>
            <w:r>
              <w:rPr>
                <w:rFonts w:ascii="Times New Roman" w:cs="Times New Roman" w:eastAsia="Times New Roman" w:hAnsi="Times New Roman"/>
                <w:b/>
                <w:bCs/>
                <w:sz w:val="18"/>
                <w:szCs w:val="18"/>
              </w:rPr>
              <w:t xml:space="preserve">LOW  (0 points)</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Category</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Indemnity / Liability</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Rationale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Mutual and fault-based. Contains strong words ("liable", "indemnify") that should NOT trigger a false positive.</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Legal basis</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ICA ss.124–125</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Annotator confidence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high</w:t>
            </w:r>
          </w:p>
        </w:tc>
      </w:tr>
    </w:tbl>
    <w:p>
      <w:pPr>
        <w:spacing w:after="80"/>
      </w:pPr>
    </w:p>
    <w:p>
      <w:pPr>
        <w:keepNext/>
        <w:spacing w:after="100" w:before="160"/>
      </w:pPr>
      <w:r>
        <w:rPr>
          <w:rFonts w:ascii="Times New Roman" w:cs="Times New Roman" w:eastAsia="Times New Roman" w:hAnsi="Times New Roman"/>
          <w:b/>
          <w:bCs/>
          <w:sz w:val="22"/>
          <w:szCs w:val="22"/>
        </w:rPr>
        <w:t xml:space="preserve">22. REGISTRATION AND STAMP DUTY</w:t>
      </w:r>
    </w:p>
    <w:p>
      <w:pPr>
        <w:spacing w:after="120" w:line="276"/>
        <w:ind w:left="360"/>
        <w:jc w:val="both"/>
      </w:pPr>
      <w:r>
        <w:rPr>
          <w:rFonts w:ascii="Times New Roman" w:cs="Times New Roman" w:eastAsia="Times New Roman" w:hAnsi="Times New Roman"/>
          <w:sz w:val="22"/>
          <w:szCs w:val="22"/>
        </w:rPr>
        <w:t xml:space="preserve">22.1 The parties shall register this Agreement before the Sub-Registrar of Assurances, Thane, within the period prescribed by law. The Licensor shall attend the registration personally or through his Attorney.</w:t>
      </w:r>
    </w:p>
    <w:p>
      <w:pPr>
        <w:spacing w:after="120" w:line="276"/>
        <w:ind w:left="360"/>
        <w:jc w:val="both"/>
      </w:pPr>
      <w:r>
        <w:rPr>
          <w:rFonts w:ascii="Times New Roman" w:cs="Times New Roman" w:eastAsia="Times New Roman" w:hAnsi="Times New Roman"/>
          <w:sz w:val="22"/>
          <w:szCs w:val="22"/>
        </w:rPr>
        <w:t xml:space="preserve">22.2 Stamp duty under Article 36 of Schedule I of the Maharashtra Stamp Act, 1958 and registration charges shall be borne by the Licensees. The Licensor shall provide the registered copy to the Licensees.</w:t>
      </w:r>
    </w:p>
    <w:tbl>
      <w:tblPr>
        <w:tblW w:type="dxa" w:w="864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2000"/>
        <w:gridCol w:w="6640"/>
      </w:tblGrid>
      <w:tr>
        <w:tc>
          <w:tcPr>
            <w:tcW w:type="dxa" w:w="2000"/>
            <w:tcBorders>
              <w:top w:val="single" w:color="000000" w:sz="6"/>
              <w:left w:val="single" w:color="000000" w:sz="6"/>
              <w:bottom w:val="single" w:color="000000" w:sz="6"/>
              <w:right w:val="single" w:color="000000" w:sz="6"/>
            </w:tcBorders>
            <w:shd w:fill="CFE8CF" w:val="clear"/>
            <w:tcMar>
              <w:top w:type="dxa" w:w="60"/>
              <w:left w:type="dxa" w:w="100"/>
              <w:bottom w:type="dxa" w:w="60"/>
              <w:right w:type="dxa" w:w="100"/>
            </w:tcMar>
          </w:tcPr>
          <w:p>
            <w:r>
              <w:rPr>
                <w:rFonts w:ascii="Times New Roman" w:cs="Times New Roman" w:eastAsia="Times New Roman" w:hAnsi="Times New Roman"/>
                <w:b/>
                <w:bCs/>
                <w:sz w:val="18"/>
                <w:szCs w:val="18"/>
              </w:rPr>
              <w:t xml:space="preserve">Expected risk</w:t>
            </w:r>
          </w:p>
        </w:tc>
        <w:tc>
          <w:tcPr>
            <w:tcW w:type="dxa" w:w="6640"/>
            <w:tcBorders>
              <w:top w:val="single" w:color="000000" w:sz="6"/>
              <w:left w:val="single" w:color="000000" w:sz="6"/>
              <w:bottom w:val="single" w:color="000000" w:sz="6"/>
              <w:right w:val="single" w:color="000000" w:sz="6"/>
            </w:tcBorders>
            <w:shd w:fill="CFE8CF" w:val="clear"/>
            <w:tcMar>
              <w:top w:type="dxa" w:w="60"/>
              <w:left w:type="dxa" w:w="100"/>
              <w:bottom w:type="dxa" w:w="60"/>
              <w:right w:type="dxa" w:w="100"/>
            </w:tcMar>
          </w:tcPr>
          <w:p>
            <w:r>
              <w:rPr>
                <w:rFonts w:ascii="Times New Roman" w:cs="Times New Roman" w:eastAsia="Times New Roman" w:hAnsi="Times New Roman"/>
                <w:b/>
                <w:bCs/>
                <w:sz w:val="18"/>
                <w:szCs w:val="18"/>
              </w:rPr>
              <w:t xml:space="preserve">LOW  (0 points)</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Category</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Registration / Stamp Duty</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Rationale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BORDERLINE-LOW. Licensee bearing the (small) stamp and registration costs is common market practice; registration obligation and attendance by Licensor are included.</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Legal basis</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Maharashtra Stamp Act 1958 Art. 36; Registration Act 1908; MRCA 1999 s.55</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Annotator confidence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medium</w:t>
            </w:r>
          </w:p>
        </w:tc>
      </w:tr>
    </w:tbl>
    <w:p>
      <w:pPr>
        <w:spacing w:after="80"/>
      </w:pPr>
    </w:p>
    <w:p>
      <w:pPr>
        <w:keepNext/>
        <w:spacing w:after="100" w:before="160"/>
      </w:pPr>
      <w:r>
        <w:rPr>
          <w:rFonts w:ascii="Times New Roman" w:cs="Times New Roman" w:eastAsia="Times New Roman" w:hAnsi="Times New Roman"/>
          <w:b/>
          <w:bCs/>
          <w:sz w:val="22"/>
          <w:szCs w:val="22"/>
        </w:rPr>
        <w:t xml:space="preserve">23. COMPLIANCE AND POLICE VERIFICATION</w:t>
      </w:r>
    </w:p>
    <w:p>
      <w:pPr>
        <w:spacing w:after="120" w:line="276"/>
        <w:ind w:left="360"/>
        <w:jc w:val="both"/>
      </w:pPr>
      <w:r>
        <w:rPr>
          <w:rFonts w:ascii="Times New Roman" w:cs="Times New Roman" w:eastAsia="Times New Roman" w:hAnsi="Times New Roman"/>
          <w:sz w:val="22"/>
          <w:szCs w:val="22"/>
        </w:rPr>
        <w:t xml:space="preserve">23.1 The Licensor shall, within the time prescribed by law, submit the Licensees' particulars for police verification. The Licensees shall provide identity proof, address proof and photographs and co-operate.</w:t>
      </w:r>
    </w:p>
    <w:p>
      <w:pPr>
        <w:spacing w:after="120" w:line="276"/>
        <w:ind w:left="360"/>
        <w:jc w:val="both"/>
      </w:pPr>
      <w:r>
        <w:rPr>
          <w:rFonts w:ascii="Times New Roman" w:cs="Times New Roman" w:eastAsia="Times New Roman" w:hAnsi="Times New Roman"/>
          <w:sz w:val="22"/>
          <w:szCs w:val="22"/>
        </w:rPr>
        <w:t xml:space="preserve">23.2 The Licensees shall obey all applicable laws, Society rules and municipal regulations in their use of the Licensed Premises.</w:t>
      </w:r>
    </w:p>
    <w:tbl>
      <w:tblPr>
        <w:tblW w:type="dxa" w:w="864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2000"/>
        <w:gridCol w:w="6640"/>
      </w:tblGrid>
      <w:tr>
        <w:tc>
          <w:tcPr>
            <w:tcW w:type="dxa" w:w="2000"/>
            <w:tcBorders>
              <w:top w:val="single" w:color="000000" w:sz="6"/>
              <w:left w:val="single" w:color="000000" w:sz="6"/>
              <w:bottom w:val="single" w:color="000000" w:sz="6"/>
              <w:right w:val="single" w:color="000000" w:sz="6"/>
            </w:tcBorders>
            <w:shd w:fill="CFE8CF" w:val="clear"/>
            <w:tcMar>
              <w:top w:type="dxa" w:w="60"/>
              <w:left w:type="dxa" w:w="100"/>
              <w:bottom w:type="dxa" w:w="60"/>
              <w:right w:type="dxa" w:w="100"/>
            </w:tcMar>
          </w:tcPr>
          <w:p>
            <w:r>
              <w:rPr>
                <w:rFonts w:ascii="Times New Roman" w:cs="Times New Roman" w:eastAsia="Times New Roman" w:hAnsi="Times New Roman"/>
                <w:b/>
                <w:bCs/>
                <w:sz w:val="18"/>
                <w:szCs w:val="18"/>
              </w:rPr>
              <w:t xml:space="preserve">Expected risk</w:t>
            </w:r>
          </w:p>
        </w:tc>
        <w:tc>
          <w:tcPr>
            <w:tcW w:type="dxa" w:w="6640"/>
            <w:tcBorders>
              <w:top w:val="single" w:color="000000" w:sz="6"/>
              <w:left w:val="single" w:color="000000" w:sz="6"/>
              <w:bottom w:val="single" w:color="000000" w:sz="6"/>
              <w:right w:val="single" w:color="000000" w:sz="6"/>
            </w:tcBorders>
            <w:shd w:fill="CFE8CF" w:val="clear"/>
            <w:tcMar>
              <w:top w:type="dxa" w:w="60"/>
              <w:left w:type="dxa" w:w="100"/>
              <w:bottom w:type="dxa" w:w="60"/>
              <w:right w:type="dxa" w:w="100"/>
            </w:tcMar>
          </w:tcPr>
          <w:p>
            <w:r>
              <w:rPr>
                <w:rFonts w:ascii="Times New Roman" w:cs="Times New Roman" w:eastAsia="Times New Roman" w:hAnsi="Times New Roman"/>
                <w:b/>
                <w:bCs/>
                <w:sz w:val="18"/>
                <w:szCs w:val="18"/>
              </w:rPr>
              <w:t xml:space="preserve">LOW  (0 points)</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Category</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Compliance / Police Verification</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Rationale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Standard compliance obligations.</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Legal basis</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Maharashtra police tenant/licensee intimation orders</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Annotator confidence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high</w:t>
            </w:r>
          </w:p>
        </w:tc>
      </w:tr>
    </w:tbl>
    <w:p>
      <w:pPr>
        <w:spacing w:after="80"/>
      </w:pPr>
    </w:p>
    <w:p>
      <w:pPr>
        <w:keepNext/>
        <w:spacing w:after="100" w:before="160"/>
      </w:pPr>
      <w:r>
        <w:rPr>
          <w:rFonts w:ascii="Times New Roman" w:cs="Times New Roman" w:eastAsia="Times New Roman" w:hAnsi="Times New Roman"/>
          <w:b/>
          <w:bCs/>
          <w:sz w:val="22"/>
          <w:szCs w:val="22"/>
        </w:rPr>
        <w:t xml:space="preserve">24. PERSONAL DATA</w:t>
      </w:r>
    </w:p>
    <w:p>
      <w:pPr>
        <w:spacing w:after="120" w:line="276"/>
        <w:ind w:left="360"/>
        <w:jc w:val="both"/>
      </w:pPr>
      <w:r>
        <w:rPr>
          <w:rFonts w:ascii="Times New Roman" w:cs="Times New Roman" w:eastAsia="Times New Roman" w:hAnsi="Times New Roman"/>
          <w:sz w:val="22"/>
          <w:szCs w:val="22"/>
        </w:rPr>
        <w:t xml:space="preserve">24.1 The Licensees consent to the Licensor, his Attorney and their agents collecting, storing and using the Licensees' identity documents, contact details, photographs and financial information </w:t>
      </w:r>
      <w:r>
        <w:rPr>
          <w:rFonts w:ascii="Times New Roman" w:cs="Times New Roman" w:eastAsia="Times New Roman" w:hAnsi="Times New Roman"/>
          <w:b/>
          <w:bCs/>
          <w:sz w:val="22"/>
          <w:szCs w:val="22"/>
          <w:shd w:fill="FFF2A8" w:val="clear"/>
        </w:rPr>
        <w:t xml:space="preserve">for any purpose, and sharing them with brokers, property portals, service providers and other third parties as the Licensor thinks fit</w:t>
      </w:r>
      <w:r>
        <w:rPr>
          <w:rFonts w:ascii="Times New Roman" w:cs="Times New Roman" w:eastAsia="Times New Roman" w:hAnsi="Times New Roman"/>
          <w:sz w:val="22"/>
          <w:szCs w:val="22"/>
        </w:rPr>
        <w:t xml:space="preserve">.</w:t>
      </w:r>
    </w:p>
    <w:p>
      <w:pPr>
        <w:spacing w:after="120" w:line="276"/>
        <w:ind w:left="360"/>
        <w:jc w:val="both"/>
      </w:pPr>
      <w:r>
        <w:rPr>
          <w:rFonts w:ascii="Times New Roman" w:cs="Times New Roman" w:eastAsia="Times New Roman" w:hAnsi="Times New Roman"/>
          <w:sz w:val="22"/>
          <w:szCs w:val="22"/>
        </w:rPr>
        <w:t xml:space="preserve">24.2 The Licensor may retain such data for as long as he considers necessary.</w:t>
      </w:r>
    </w:p>
    <w:tbl>
      <w:tblPr>
        <w:tblW w:type="dxa" w:w="864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2000"/>
        <w:gridCol w:w="6640"/>
      </w:tblGrid>
      <w:tr>
        <w:tc>
          <w:tcPr>
            <w:tcW w:type="dxa" w:w="2000"/>
            <w:tcBorders>
              <w:top w:val="single" w:color="000000" w:sz="6"/>
              <w:left w:val="single" w:color="000000" w:sz="6"/>
              <w:bottom w:val="single" w:color="000000" w:sz="6"/>
              <w:right w:val="single" w:color="000000" w:sz="6"/>
            </w:tcBorders>
            <w:shd w:fill="FFF2A8" w:val="clear"/>
            <w:tcMar>
              <w:top w:type="dxa" w:w="60"/>
              <w:left w:type="dxa" w:w="100"/>
              <w:bottom w:type="dxa" w:w="60"/>
              <w:right w:type="dxa" w:w="100"/>
            </w:tcMar>
          </w:tcPr>
          <w:p>
            <w:r>
              <w:rPr>
                <w:rFonts w:ascii="Times New Roman" w:cs="Times New Roman" w:eastAsia="Times New Roman" w:hAnsi="Times New Roman"/>
                <w:b/>
                <w:bCs/>
                <w:sz w:val="18"/>
                <w:szCs w:val="18"/>
              </w:rPr>
              <w:t xml:space="preserve">Expected risk</w:t>
            </w:r>
          </w:p>
        </w:tc>
        <w:tc>
          <w:tcPr>
            <w:tcW w:type="dxa" w:w="6640"/>
            <w:tcBorders>
              <w:top w:val="single" w:color="000000" w:sz="6"/>
              <w:left w:val="single" w:color="000000" w:sz="6"/>
              <w:bottom w:val="single" w:color="000000" w:sz="6"/>
              <w:right w:val="single" w:color="000000" w:sz="6"/>
            </w:tcBorders>
            <w:shd w:fill="FFF2A8" w:val="clear"/>
            <w:tcMar>
              <w:top w:type="dxa" w:w="60"/>
              <w:left w:type="dxa" w:w="100"/>
              <w:bottom w:type="dxa" w:w="60"/>
              <w:right w:type="dxa" w:w="100"/>
            </w:tcMar>
          </w:tcPr>
          <w:p>
            <w:r>
              <w:rPr>
                <w:rFonts w:ascii="Times New Roman" w:cs="Times New Roman" w:eastAsia="Times New Roman" w:hAnsi="Times New Roman"/>
                <w:b/>
                <w:bCs/>
                <w:sz w:val="18"/>
                <w:szCs w:val="18"/>
              </w:rPr>
              <w:t xml:space="preserve">MEDIUM  (-4 points)</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Category</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Privacy / Data Protection</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Rationale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Blanket consent for unspecified purposes, unrestricted third-party sharing and indefinite retention for sensitive ID data (Aadhaar/PAN). Not within price/penalty rules – tests generalisation. Contrast with a purpose-limited data clause.</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Legal basis</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Digital Personal Data Protection Act 2023 (purpose limitation, specific consent, storage limitation); Aadhaar Act 2016 – verify</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Safer alternative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The Licensor shall use the Licensees' personal data only for this Agreement, registration, police verification and legal compliance, shall not share it otherwise, and shall delete it within 6 months after expiry.</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Annotator confidence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high</w:t>
            </w:r>
          </w:p>
        </w:tc>
      </w:tr>
    </w:tbl>
    <w:p>
      <w:pPr>
        <w:spacing w:after="80"/>
      </w:pPr>
    </w:p>
    <w:p>
      <w:pPr>
        <w:keepNext/>
        <w:spacing w:after="100" w:before="160"/>
      </w:pPr>
      <w:r>
        <w:rPr>
          <w:rFonts w:ascii="Times New Roman" w:cs="Times New Roman" w:eastAsia="Times New Roman" w:hAnsi="Times New Roman"/>
          <w:b/>
          <w:bCs/>
          <w:sz w:val="22"/>
          <w:szCs w:val="22"/>
        </w:rPr>
        <w:t xml:space="preserve">25. FORCE MAJEURE</w:t>
      </w:r>
    </w:p>
    <w:p>
      <w:pPr>
        <w:spacing w:after="120" w:line="276"/>
        <w:ind w:left="360"/>
        <w:jc w:val="both"/>
      </w:pPr>
      <w:r>
        <w:rPr>
          <w:rFonts w:ascii="Times New Roman" w:cs="Times New Roman" w:eastAsia="Times New Roman" w:hAnsi="Times New Roman"/>
          <w:sz w:val="22"/>
          <w:szCs w:val="22"/>
        </w:rPr>
        <w:t xml:space="preserve">25.1 Neither party shall be liable for delay or failure to perform (other than payment of money already due) caused by events beyond its reasonable control, including fire, flood, earthquake, epidemic, government order or lockdown.</w:t>
      </w:r>
    </w:p>
    <w:p>
      <w:pPr>
        <w:spacing w:after="120" w:line="276"/>
        <w:ind w:left="360"/>
        <w:jc w:val="both"/>
      </w:pPr>
      <w:r>
        <w:rPr>
          <w:rFonts w:ascii="Times New Roman" w:cs="Times New Roman" w:eastAsia="Times New Roman" w:hAnsi="Times New Roman"/>
          <w:sz w:val="22"/>
          <w:szCs w:val="22"/>
        </w:rPr>
        <w:t xml:space="preserve">25.2 If any such event makes the Licensed Premises uninhabitable for more than 30 (thirty) consecutive days, either party may terminate this Agreement without penalty and the Licensor shall refund the Security Deposit and the unused advance License Fee within 15 (fifteen) days.</w:t>
      </w:r>
    </w:p>
    <w:tbl>
      <w:tblPr>
        <w:tblW w:type="dxa" w:w="864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2000"/>
        <w:gridCol w:w="6640"/>
      </w:tblGrid>
      <w:tr>
        <w:tc>
          <w:tcPr>
            <w:tcW w:type="dxa" w:w="2000"/>
            <w:tcBorders>
              <w:top w:val="single" w:color="000000" w:sz="6"/>
              <w:left w:val="single" w:color="000000" w:sz="6"/>
              <w:bottom w:val="single" w:color="000000" w:sz="6"/>
              <w:right w:val="single" w:color="000000" w:sz="6"/>
            </w:tcBorders>
            <w:shd w:fill="CFE8CF" w:val="clear"/>
            <w:tcMar>
              <w:top w:type="dxa" w:w="60"/>
              <w:left w:type="dxa" w:w="100"/>
              <w:bottom w:type="dxa" w:w="60"/>
              <w:right w:type="dxa" w:w="100"/>
            </w:tcMar>
          </w:tcPr>
          <w:p>
            <w:r>
              <w:rPr>
                <w:rFonts w:ascii="Times New Roman" w:cs="Times New Roman" w:eastAsia="Times New Roman" w:hAnsi="Times New Roman"/>
                <w:b/>
                <w:bCs/>
                <w:sz w:val="18"/>
                <w:szCs w:val="18"/>
              </w:rPr>
              <w:t xml:space="preserve">Expected risk</w:t>
            </w:r>
          </w:p>
        </w:tc>
        <w:tc>
          <w:tcPr>
            <w:tcW w:type="dxa" w:w="6640"/>
            <w:tcBorders>
              <w:top w:val="single" w:color="000000" w:sz="6"/>
              <w:left w:val="single" w:color="000000" w:sz="6"/>
              <w:bottom w:val="single" w:color="000000" w:sz="6"/>
              <w:right w:val="single" w:color="000000" w:sz="6"/>
            </w:tcBorders>
            <w:shd w:fill="CFE8CF" w:val="clear"/>
            <w:tcMar>
              <w:top w:type="dxa" w:w="60"/>
              <w:left w:type="dxa" w:w="100"/>
              <w:bottom w:type="dxa" w:w="60"/>
              <w:right w:type="dxa" w:w="100"/>
            </w:tcMar>
          </w:tcPr>
          <w:p>
            <w:r>
              <w:rPr>
                <w:rFonts w:ascii="Times New Roman" w:cs="Times New Roman" w:eastAsia="Times New Roman" w:hAnsi="Times New Roman"/>
                <w:b/>
                <w:bCs/>
                <w:sz w:val="18"/>
                <w:szCs w:val="18"/>
              </w:rPr>
              <w:t xml:space="preserve">LOW  (0 points)</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Category</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Force Majeure</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Rationale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Balanced force majeure with a clear exit and refund. (Note: Clause 9.2 "for any reason whatsoever" arguably conflicts with the exit in 25.2.)</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Legal basis</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ICA s.56 (frustration)</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Annotator confidence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high</w:t>
            </w:r>
          </w:p>
        </w:tc>
      </w:tr>
    </w:tbl>
    <w:p>
      <w:pPr>
        <w:spacing w:after="80"/>
      </w:pPr>
    </w:p>
    <w:p>
      <w:pPr>
        <w:keepNext/>
        <w:spacing w:after="100" w:before="160"/>
      </w:pPr>
      <w:r>
        <w:rPr>
          <w:rFonts w:ascii="Times New Roman" w:cs="Times New Roman" w:eastAsia="Times New Roman" w:hAnsi="Times New Roman"/>
          <w:b/>
          <w:bCs/>
          <w:sz w:val="22"/>
          <w:szCs w:val="22"/>
        </w:rPr>
        <w:t xml:space="preserve">26. DISPUTE RESOLUTION</w:t>
      </w:r>
    </w:p>
    <w:p>
      <w:pPr>
        <w:spacing w:after="120" w:line="276"/>
        <w:ind w:left="360"/>
        <w:jc w:val="both"/>
      </w:pPr>
      <w:r>
        <w:rPr>
          <w:rFonts w:ascii="Times New Roman" w:cs="Times New Roman" w:eastAsia="Times New Roman" w:hAnsi="Times New Roman"/>
          <w:sz w:val="22"/>
          <w:szCs w:val="22"/>
        </w:rPr>
        <w:t xml:space="preserve">26.1 Any dispute arising out of this Agreement shall first be discussed in good faith for 15 (fifteen) days after written notice.</w:t>
      </w:r>
    </w:p>
    <w:p>
      <w:pPr>
        <w:spacing w:after="120" w:line="276"/>
        <w:ind w:left="360"/>
        <w:jc w:val="both"/>
      </w:pPr>
      <w:r>
        <w:rPr>
          <w:rFonts w:ascii="Times New Roman" w:cs="Times New Roman" w:eastAsia="Times New Roman" w:hAnsi="Times New Roman"/>
          <w:sz w:val="22"/>
          <w:szCs w:val="22"/>
        </w:rPr>
        <w:t xml:space="preserve">26.2 Failing settlement, the dispute shall be referred to </w:t>
      </w:r>
      <w:r>
        <w:rPr>
          <w:rFonts w:ascii="Times New Roman" w:cs="Times New Roman" w:eastAsia="Times New Roman" w:hAnsi="Times New Roman"/>
          <w:b/>
          <w:bCs/>
          <w:sz w:val="22"/>
          <w:szCs w:val="22"/>
          <w:shd w:fill="F8D3A8" w:val="clear"/>
        </w:rPr>
        <w:t xml:space="preserve">a sole arbitrator to be appointed by the Licensor alone, whose appointment shall not be questioned by the Licensees</w:t>
      </w:r>
      <w:r>
        <w:rPr>
          <w:rFonts w:ascii="Times New Roman" w:cs="Times New Roman" w:eastAsia="Times New Roman" w:hAnsi="Times New Roman"/>
          <w:sz w:val="22"/>
          <w:szCs w:val="22"/>
        </w:rPr>
        <w:t xml:space="preserve">, under the Arbitration and Conciliation Act, 1996. The seat shall be Thane and the costs of arbitration shall be borne by the Licensees in the first instance.</w:t>
      </w:r>
    </w:p>
    <w:tbl>
      <w:tblPr>
        <w:tblW w:type="dxa" w:w="864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2000"/>
        <w:gridCol w:w="6640"/>
      </w:tblGrid>
      <w:tr>
        <w:tc>
          <w:tcPr>
            <w:tcW w:type="dxa" w:w="2000"/>
            <w:tcBorders>
              <w:top w:val="single" w:color="000000" w:sz="6"/>
              <w:left w:val="single" w:color="000000" w:sz="6"/>
              <w:bottom w:val="single" w:color="000000" w:sz="6"/>
              <w:right w:val="single" w:color="000000" w:sz="6"/>
            </w:tcBorders>
            <w:shd w:fill="F8D3A8" w:val="clear"/>
            <w:tcMar>
              <w:top w:type="dxa" w:w="60"/>
              <w:left w:type="dxa" w:w="100"/>
              <w:bottom w:type="dxa" w:w="60"/>
              <w:right w:type="dxa" w:w="100"/>
            </w:tcMar>
          </w:tcPr>
          <w:p>
            <w:r>
              <w:rPr>
                <w:rFonts w:ascii="Times New Roman" w:cs="Times New Roman" w:eastAsia="Times New Roman" w:hAnsi="Times New Roman"/>
                <w:b/>
                <w:bCs/>
                <w:sz w:val="18"/>
                <w:szCs w:val="18"/>
              </w:rPr>
              <w:t xml:space="preserve">Expected risk</w:t>
            </w:r>
          </w:p>
        </w:tc>
        <w:tc>
          <w:tcPr>
            <w:tcW w:type="dxa" w:w="6640"/>
            <w:tcBorders>
              <w:top w:val="single" w:color="000000" w:sz="6"/>
              <w:left w:val="single" w:color="000000" w:sz="6"/>
              <w:bottom w:val="single" w:color="000000" w:sz="6"/>
              <w:right w:val="single" w:color="000000" w:sz="6"/>
            </w:tcBorders>
            <w:shd w:fill="F8D3A8" w:val="clear"/>
            <w:tcMar>
              <w:top w:type="dxa" w:w="60"/>
              <w:left w:type="dxa" w:w="100"/>
              <w:bottom w:type="dxa" w:w="60"/>
              <w:right w:type="dxa" w:w="100"/>
            </w:tcMar>
          </w:tcPr>
          <w:p>
            <w:r>
              <w:rPr>
                <w:rFonts w:ascii="Times New Roman" w:cs="Times New Roman" w:eastAsia="Times New Roman" w:hAnsi="Times New Roman"/>
                <w:b/>
                <w:bCs/>
                <w:sz w:val="18"/>
                <w:szCs w:val="18"/>
              </w:rPr>
              <w:t xml:space="preserve">HIGH  (-10 points)</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Category</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Dispute Resolution</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Rationale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Unilateral appointment of the sole arbitrator by an interested party is contrary to the neutrality requirement and can be struck down, but leaves the Licensee with cost and delay; cost-shifting to the Licensee worsens it. Different failure mode from a blanket waiver of court access.</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Legal basis</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Arbitration and Conciliation Act 1996 s.12(5) with Seventh Schedule; Supreme Court decisions on unilateral appointment of arbitrators (e.g. TRF Ltd v Energo Engineering, 2017; Perkins Eastern Civil Engineers v DSC, 2019) – verify</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Safer alternative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The arbitrator shall be appointed by mutual consent of both parties or, failing that, by the competent court. Costs shall be shared equally or as the arbitrator directs.</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Annotator confidence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high</w:t>
            </w:r>
          </w:p>
        </w:tc>
      </w:tr>
    </w:tbl>
    <w:p>
      <w:pPr>
        <w:spacing w:after="80"/>
      </w:pPr>
    </w:p>
    <w:p>
      <w:pPr>
        <w:keepNext/>
        <w:spacing w:after="100" w:before="160"/>
      </w:pPr>
      <w:r>
        <w:rPr>
          <w:rFonts w:ascii="Times New Roman" w:cs="Times New Roman" w:eastAsia="Times New Roman" w:hAnsi="Times New Roman"/>
          <w:b/>
          <w:bCs/>
          <w:sz w:val="22"/>
          <w:szCs w:val="22"/>
        </w:rPr>
        <w:t xml:space="preserve">27. JURISDICTION AND GOVERNING LAW</w:t>
      </w:r>
    </w:p>
    <w:p>
      <w:pPr>
        <w:spacing w:after="120" w:line="276"/>
        <w:ind w:left="360"/>
        <w:jc w:val="both"/>
      </w:pPr>
      <w:r>
        <w:rPr>
          <w:rFonts w:ascii="Times New Roman" w:cs="Times New Roman" w:eastAsia="Times New Roman" w:hAnsi="Times New Roman"/>
          <w:sz w:val="22"/>
          <w:szCs w:val="22"/>
        </w:rPr>
        <w:t xml:space="preserve">27.1 This Agreement is governed by the laws of India. Subject to Clause 26, the courts at Thane, including the Court of Small Causes where applicable, shall have jurisdiction.</w:t>
      </w:r>
    </w:p>
    <w:p>
      <w:pPr>
        <w:spacing w:after="120" w:line="276"/>
        <w:ind w:left="360"/>
        <w:jc w:val="both"/>
      </w:pPr>
      <w:r>
        <w:rPr>
          <w:rFonts w:ascii="Times New Roman" w:cs="Times New Roman" w:eastAsia="Times New Roman" w:hAnsi="Times New Roman"/>
          <w:sz w:val="22"/>
          <w:szCs w:val="22"/>
        </w:rPr>
        <w:t xml:space="preserve">27.2 Nothing in this Agreement prevents either party from approaching a competent court for urgent interim relief.</w:t>
      </w:r>
    </w:p>
    <w:tbl>
      <w:tblPr>
        <w:tblW w:type="dxa" w:w="864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2000"/>
        <w:gridCol w:w="6640"/>
      </w:tblGrid>
      <w:tr>
        <w:tc>
          <w:tcPr>
            <w:tcW w:type="dxa" w:w="2000"/>
            <w:tcBorders>
              <w:top w:val="single" w:color="000000" w:sz="6"/>
              <w:left w:val="single" w:color="000000" w:sz="6"/>
              <w:bottom w:val="single" w:color="000000" w:sz="6"/>
              <w:right w:val="single" w:color="000000" w:sz="6"/>
            </w:tcBorders>
            <w:shd w:fill="CFE8CF" w:val="clear"/>
            <w:tcMar>
              <w:top w:type="dxa" w:w="60"/>
              <w:left w:type="dxa" w:w="100"/>
              <w:bottom w:type="dxa" w:w="60"/>
              <w:right w:type="dxa" w:w="100"/>
            </w:tcMar>
          </w:tcPr>
          <w:p>
            <w:r>
              <w:rPr>
                <w:rFonts w:ascii="Times New Roman" w:cs="Times New Roman" w:eastAsia="Times New Roman" w:hAnsi="Times New Roman"/>
                <w:b/>
                <w:bCs/>
                <w:sz w:val="18"/>
                <w:szCs w:val="18"/>
              </w:rPr>
              <w:t xml:space="preserve">Expected risk</w:t>
            </w:r>
          </w:p>
        </w:tc>
        <w:tc>
          <w:tcPr>
            <w:tcW w:type="dxa" w:w="6640"/>
            <w:tcBorders>
              <w:top w:val="single" w:color="000000" w:sz="6"/>
              <w:left w:val="single" w:color="000000" w:sz="6"/>
              <w:bottom w:val="single" w:color="000000" w:sz="6"/>
              <w:right w:val="single" w:color="000000" w:sz="6"/>
            </w:tcBorders>
            <w:shd w:fill="CFE8CF" w:val="clear"/>
            <w:tcMar>
              <w:top w:type="dxa" w:w="60"/>
              <w:left w:type="dxa" w:w="100"/>
              <w:bottom w:type="dxa" w:w="60"/>
              <w:right w:type="dxa" w:w="100"/>
            </w:tcMar>
          </w:tcPr>
          <w:p>
            <w:r>
              <w:rPr>
                <w:rFonts w:ascii="Times New Roman" w:cs="Times New Roman" w:eastAsia="Times New Roman" w:hAnsi="Times New Roman"/>
                <w:b/>
                <w:bCs/>
                <w:sz w:val="18"/>
                <w:szCs w:val="18"/>
              </w:rPr>
              <w:t xml:space="preserve">LOW  (0 points)</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Category</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Governing Law / Jurisdiction</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Rationale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Standard; preserves interim relief access.</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Legal basis</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CPC 1908 s.20</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Annotator confidence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high</w:t>
            </w:r>
          </w:p>
        </w:tc>
      </w:tr>
    </w:tbl>
    <w:p>
      <w:pPr>
        <w:spacing w:after="80"/>
      </w:pPr>
    </w:p>
    <w:p>
      <w:pPr>
        <w:keepNext/>
        <w:spacing w:after="100" w:before="160"/>
      </w:pPr>
      <w:r>
        <w:rPr>
          <w:rFonts w:ascii="Times New Roman" w:cs="Times New Roman" w:eastAsia="Times New Roman" w:hAnsi="Times New Roman"/>
          <w:b/>
          <w:bCs/>
          <w:sz w:val="22"/>
          <w:szCs w:val="22"/>
        </w:rPr>
        <w:t xml:space="preserve">28. NOTICES</w:t>
      </w:r>
    </w:p>
    <w:p>
      <w:pPr>
        <w:spacing w:after="120" w:line="276"/>
        <w:ind w:left="360"/>
        <w:jc w:val="both"/>
      </w:pPr>
      <w:r>
        <w:rPr>
          <w:rFonts w:ascii="Times New Roman" w:cs="Times New Roman" w:eastAsia="Times New Roman" w:hAnsi="Times New Roman"/>
          <w:sz w:val="22"/>
          <w:szCs w:val="22"/>
        </w:rPr>
        <w:t xml:space="preserve">28.1 Notices shall be in writing and sent to the addresses and email IDs stated in this Agreement, or any changed address notified in writing.</w:t>
      </w:r>
    </w:p>
    <w:p>
      <w:pPr>
        <w:spacing w:after="120" w:line="276"/>
        <w:ind w:left="360"/>
        <w:jc w:val="both"/>
      </w:pPr>
      <w:r>
        <w:rPr>
          <w:rFonts w:ascii="Times New Roman" w:cs="Times New Roman" w:eastAsia="Times New Roman" w:hAnsi="Times New Roman"/>
          <w:sz w:val="22"/>
          <w:szCs w:val="22"/>
        </w:rPr>
        <w:t xml:space="preserve">28.2 A notice sent by registered post A.D. is deemed served 5 (five) days after posting; a notice by email is deemed served on the next business day if no bounce-back is received.</w:t>
      </w:r>
    </w:p>
    <w:tbl>
      <w:tblPr>
        <w:tblW w:type="dxa" w:w="864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2000"/>
        <w:gridCol w:w="6640"/>
      </w:tblGrid>
      <w:tr>
        <w:tc>
          <w:tcPr>
            <w:tcW w:type="dxa" w:w="2000"/>
            <w:tcBorders>
              <w:top w:val="single" w:color="000000" w:sz="6"/>
              <w:left w:val="single" w:color="000000" w:sz="6"/>
              <w:bottom w:val="single" w:color="000000" w:sz="6"/>
              <w:right w:val="single" w:color="000000" w:sz="6"/>
            </w:tcBorders>
            <w:shd w:fill="CFE8CF" w:val="clear"/>
            <w:tcMar>
              <w:top w:type="dxa" w:w="60"/>
              <w:left w:type="dxa" w:w="100"/>
              <w:bottom w:type="dxa" w:w="60"/>
              <w:right w:type="dxa" w:w="100"/>
            </w:tcMar>
          </w:tcPr>
          <w:p>
            <w:r>
              <w:rPr>
                <w:rFonts w:ascii="Times New Roman" w:cs="Times New Roman" w:eastAsia="Times New Roman" w:hAnsi="Times New Roman"/>
                <w:b/>
                <w:bCs/>
                <w:sz w:val="18"/>
                <w:szCs w:val="18"/>
              </w:rPr>
              <w:t xml:space="preserve">Expected risk</w:t>
            </w:r>
          </w:p>
        </w:tc>
        <w:tc>
          <w:tcPr>
            <w:tcW w:type="dxa" w:w="6640"/>
            <w:tcBorders>
              <w:top w:val="single" w:color="000000" w:sz="6"/>
              <w:left w:val="single" w:color="000000" w:sz="6"/>
              <w:bottom w:val="single" w:color="000000" w:sz="6"/>
              <w:right w:val="single" w:color="000000" w:sz="6"/>
            </w:tcBorders>
            <w:shd w:fill="CFE8CF" w:val="clear"/>
            <w:tcMar>
              <w:top w:type="dxa" w:w="60"/>
              <w:left w:type="dxa" w:w="100"/>
              <w:bottom w:type="dxa" w:w="60"/>
              <w:right w:type="dxa" w:w="100"/>
            </w:tcMar>
          </w:tcPr>
          <w:p>
            <w:r>
              <w:rPr>
                <w:rFonts w:ascii="Times New Roman" w:cs="Times New Roman" w:eastAsia="Times New Roman" w:hAnsi="Times New Roman"/>
                <w:b/>
                <w:bCs/>
                <w:sz w:val="18"/>
                <w:szCs w:val="18"/>
              </w:rPr>
              <w:t xml:space="preserve">LOW  (0 points)</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Category</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Notices</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Rationale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Standard, with reasonable deemed-service periods.</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Legal basis</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General Clauses Act 1897 s.27 (by analogy)</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Annotator confidence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high</w:t>
            </w:r>
          </w:p>
        </w:tc>
      </w:tr>
    </w:tbl>
    <w:p>
      <w:pPr>
        <w:spacing w:after="80"/>
      </w:pPr>
    </w:p>
    <w:p>
      <w:pPr>
        <w:keepNext/>
        <w:spacing w:after="100" w:before="160"/>
      </w:pPr>
      <w:r>
        <w:rPr>
          <w:rFonts w:ascii="Times New Roman" w:cs="Times New Roman" w:eastAsia="Times New Roman" w:hAnsi="Times New Roman"/>
          <w:b/>
          <w:bCs/>
          <w:sz w:val="22"/>
          <w:szCs w:val="22"/>
        </w:rPr>
        <w:t xml:space="preserve">29. GENERAL</w:t>
      </w:r>
    </w:p>
    <w:p>
      <w:pPr>
        <w:spacing w:after="120" w:line="276"/>
        <w:ind w:left="360"/>
        <w:jc w:val="both"/>
      </w:pPr>
      <w:r>
        <w:rPr>
          <w:rFonts w:ascii="Times New Roman" w:cs="Times New Roman" w:eastAsia="Times New Roman" w:hAnsi="Times New Roman"/>
          <w:sz w:val="22"/>
          <w:szCs w:val="22"/>
        </w:rPr>
        <w:t xml:space="preserve">29.1 This Agreement and its Annexures are the entire agreement between the parties and supersede all prior understandings.</w:t>
      </w:r>
    </w:p>
    <w:p>
      <w:pPr>
        <w:spacing w:after="120" w:line="276"/>
        <w:ind w:left="360"/>
        <w:jc w:val="both"/>
      </w:pPr>
      <w:r>
        <w:rPr>
          <w:rFonts w:ascii="Times New Roman" w:cs="Times New Roman" w:eastAsia="Times New Roman" w:hAnsi="Times New Roman"/>
          <w:sz w:val="22"/>
          <w:szCs w:val="22"/>
        </w:rPr>
        <w:t xml:space="preserve">29.2 No amendment is valid unless in writing and signed by all parties.</w:t>
      </w:r>
    </w:p>
    <w:p>
      <w:pPr>
        <w:spacing w:after="120" w:line="276"/>
        <w:ind w:left="360"/>
        <w:jc w:val="both"/>
      </w:pPr>
      <w:r>
        <w:rPr>
          <w:rFonts w:ascii="Times New Roman" w:cs="Times New Roman" w:eastAsia="Times New Roman" w:hAnsi="Times New Roman"/>
          <w:sz w:val="22"/>
          <w:szCs w:val="22"/>
        </w:rPr>
        <w:t xml:space="preserve">29.3 The Licensees' obligations are joint and several. The Licensees shall not assign their rights under this Agreement.</w:t>
      </w:r>
    </w:p>
    <w:p>
      <w:pPr>
        <w:spacing w:after="120" w:line="276"/>
        <w:ind w:left="360"/>
        <w:jc w:val="both"/>
      </w:pPr>
      <w:r>
        <w:rPr>
          <w:rFonts w:ascii="Times New Roman" w:cs="Times New Roman" w:eastAsia="Times New Roman" w:hAnsi="Times New Roman"/>
          <w:sz w:val="22"/>
          <w:szCs w:val="22"/>
        </w:rPr>
        <w:t xml:space="preserve">29.4 If any provision is held unenforceable, the rest of the Agreement continues in force.</w:t>
      </w:r>
    </w:p>
    <w:p>
      <w:pPr>
        <w:spacing w:after="120" w:line="276"/>
        <w:ind w:left="360"/>
        <w:jc w:val="both"/>
      </w:pPr>
      <w:r>
        <w:rPr>
          <w:rFonts w:ascii="Times New Roman" w:cs="Times New Roman" w:eastAsia="Times New Roman" w:hAnsi="Times New Roman"/>
          <w:sz w:val="22"/>
          <w:szCs w:val="22"/>
        </w:rPr>
        <w:t xml:space="preserve">29.5 This Agreement is executed in three originals, one each for the Licensor, the Licensees and for registration.</w:t>
      </w:r>
    </w:p>
    <w:tbl>
      <w:tblPr>
        <w:tblW w:type="dxa" w:w="864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2000"/>
        <w:gridCol w:w="6640"/>
      </w:tblGrid>
      <w:tr>
        <w:tc>
          <w:tcPr>
            <w:tcW w:type="dxa" w:w="2000"/>
            <w:tcBorders>
              <w:top w:val="single" w:color="000000" w:sz="6"/>
              <w:left w:val="single" w:color="000000" w:sz="6"/>
              <w:bottom w:val="single" w:color="000000" w:sz="6"/>
              <w:right w:val="single" w:color="000000" w:sz="6"/>
            </w:tcBorders>
            <w:shd w:fill="CFE8CF" w:val="clear"/>
            <w:tcMar>
              <w:top w:type="dxa" w:w="60"/>
              <w:left w:type="dxa" w:w="100"/>
              <w:bottom w:type="dxa" w:w="60"/>
              <w:right w:type="dxa" w:w="100"/>
            </w:tcMar>
          </w:tcPr>
          <w:p>
            <w:r>
              <w:rPr>
                <w:rFonts w:ascii="Times New Roman" w:cs="Times New Roman" w:eastAsia="Times New Roman" w:hAnsi="Times New Roman"/>
                <w:b/>
                <w:bCs/>
                <w:sz w:val="18"/>
                <w:szCs w:val="18"/>
              </w:rPr>
              <w:t xml:space="preserve">Expected risk</w:t>
            </w:r>
          </w:p>
        </w:tc>
        <w:tc>
          <w:tcPr>
            <w:tcW w:type="dxa" w:w="6640"/>
            <w:tcBorders>
              <w:top w:val="single" w:color="000000" w:sz="6"/>
              <w:left w:val="single" w:color="000000" w:sz="6"/>
              <w:bottom w:val="single" w:color="000000" w:sz="6"/>
              <w:right w:val="single" w:color="000000" w:sz="6"/>
            </w:tcBorders>
            <w:shd w:fill="CFE8CF" w:val="clear"/>
            <w:tcMar>
              <w:top w:type="dxa" w:w="60"/>
              <w:left w:type="dxa" w:w="100"/>
              <w:bottom w:type="dxa" w:w="60"/>
              <w:right w:type="dxa" w:w="100"/>
            </w:tcMar>
          </w:tcPr>
          <w:p>
            <w:r>
              <w:rPr>
                <w:rFonts w:ascii="Times New Roman" w:cs="Times New Roman" w:eastAsia="Times New Roman" w:hAnsi="Times New Roman"/>
                <w:b/>
                <w:bCs/>
                <w:sz w:val="18"/>
                <w:szCs w:val="18"/>
              </w:rPr>
              <w:t xml:space="preserve">LOW  (0 points)</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Category</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Boilerplate</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Rationale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Standard boilerplate. Joint-and-several liability is normal for co-licensees.</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Legal basis</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ICA s.43</w:t>
            </w:r>
          </w:p>
        </w:tc>
      </w:tr>
      <w:tr>
        <w:tc>
          <w:tcPr>
            <w:tcW w:type="dxa" w:w="2000"/>
            <w:tcBorders>
              <w:top w:val="single" w:color="000000" w:sz="6"/>
              <w:left w:val="single" w:color="000000" w:sz="6"/>
              <w:bottom w:val="single" w:color="000000" w:sz="6"/>
              <w:right w:val="single" w:color="000000" w:sz="6"/>
            </w:tcBorders>
            <w:shd w:fill="EDEDED" w:val="clear"/>
            <w:tcMar>
              <w:top w:type="dxa" w:w="60"/>
              <w:left w:type="dxa" w:w="100"/>
              <w:bottom w:type="dxa" w:w="60"/>
              <w:right w:type="dxa" w:w="100"/>
            </w:tcMar>
          </w:tcPr>
          <w:p>
            <w:r>
              <w:rPr>
                <w:rFonts w:ascii="Times New Roman" w:cs="Times New Roman" w:eastAsia="Times New Roman" w:hAnsi="Times New Roman"/>
                <w:b/>
                <w:bCs/>
                <w:sz w:val="18"/>
                <w:szCs w:val="18"/>
              </w:rPr>
              <w:t xml:space="preserve">Annotator confidence</w:t>
            </w:r>
          </w:p>
        </w:tc>
        <w:tc>
          <w:tcPr>
            <w:tcW w:type="dxa" w:w="664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high</w:t>
            </w:r>
          </w:p>
        </w:tc>
      </w:tr>
    </w:tbl>
    <w:p>
      <w:pPr>
        <w:spacing w:after="80"/>
      </w:pPr>
    </w:p>
    <w:p>
      <w:pPr>
        <w:spacing w:after="160" w:before="240"/>
      </w:pPr>
      <w:r>
        <w:rPr>
          <w:rFonts w:ascii="Times New Roman" w:cs="Times New Roman" w:eastAsia="Times New Roman" w:hAnsi="Times New Roman"/>
          <w:sz w:val="22"/>
          <w:szCs w:val="22"/>
        </w:rPr>
        <w:t xml:space="preserve">IN WITNESS WHEREOF the parties have set and subscribed their hands to this Agreement on the day, month and year first hereinabove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pPr>
            <w:r>
              <w:rPr>
                <w:rFonts w:ascii="Times New Roman" w:cs="Times New Roman" w:eastAsia="Times New Roman" w:hAnsi="Times New Roman"/>
                <w:sz w:val="20"/>
                <w:szCs w:val="20"/>
              </w:rPr>
              <w:t xml:space="preserve">SIGNED AND DELIVERED by the within named LICENSOR, through his constituted attorney</w:t>
            </w:r>
          </w:p>
          <w:p>
            <w:pPr>
              <w:spacing w:after="60"/>
            </w:pPr>
            <w:r>
              <w:rPr>
                <w:rFonts w:ascii="Times New Roman" w:cs="Times New Roman" w:eastAsia="Times New Roman" w:hAnsi="Times New Roman"/>
                <w:sz w:val="20"/>
                <w:szCs w:val="20"/>
              </w:rPr>
              <w:t xml:space="preserve"/>
            </w:r>
          </w:p>
          <w:p>
            <w:pPr>
              <w:spacing w:after="60"/>
            </w:pPr>
            <w:r>
              <w:rPr>
                <w:rFonts w:ascii="Times New Roman" w:cs="Times New Roman" w:eastAsia="Times New Roman" w:hAnsi="Times New Roman"/>
                <w:sz w:val="20"/>
                <w:szCs w:val="20"/>
              </w:rPr>
              <w:t xml:space="preserve">MR. NILESH RAMCHANDRA GAWDE</w:t>
            </w:r>
          </w:p>
          <w:p>
            <w:pPr>
              <w:spacing w:after="60"/>
            </w:pPr>
            <w:r>
              <w:rPr>
                <w:rFonts w:ascii="Times New Roman" w:cs="Times New Roman" w:eastAsia="Times New Roman" w:hAnsi="Times New Roman"/>
                <w:sz w:val="20"/>
                <w:szCs w:val="20"/>
              </w:rPr>
              <w:t xml:space="preserve">(for DR. ANAND SHANKAR BAPAT)</w:t>
            </w:r>
          </w:p>
          <w:p>
            <w:pPr>
              <w:spacing w:after="60"/>
            </w:pPr>
            <w:r>
              <w:rPr>
                <w:rFonts w:ascii="Times New Roman" w:cs="Times New Roman" w:eastAsia="Times New Roman" w:hAnsi="Times New Roman"/>
                <w:sz w:val="20"/>
                <w:szCs w:val="20"/>
              </w:rPr>
              <w:t xml:space="preserve"/>
            </w:r>
          </w:p>
          <w:p>
            <w:pPr>
              <w:spacing w:after="60"/>
            </w:pPr>
            <w:r>
              <w:rPr>
                <w:rFonts w:ascii="Times New Roman" w:cs="Times New Roman" w:eastAsia="Times New Roman" w:hAnsi="Times New Roman"/>
                <w:sz w:val="20"/>
                <w:szCs w:val="20"/>
              </w:rPr>
              <w:t xml:space="preserve">Signature: ______________________</w:t>
            </w:r>
          </w:p>
        </w:tc>
        <w:tc>
          <w:tcPr>
            <w:tcW w:type="dxa" w:w="468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pPr>
            <w:r>
              <w:rPr>
                <w:rFonts w:ascii="Times New Roman" w:cs="Times New Roman" w:eastAsia="Times New Roman" w:hAnsi="Times New Roman"/>
                <w:sz w:val="20"/>
                <w:szCs w:val="20"/>
              </w:rPr>
              <w:t xml:space="preserve">SIGNED AND DELIVERED by the within named LICENSEES</w:t>
            </w:r>
          </w:p>
          <w:p>
            <w:pPr>
              <w:spacing w:after="60"/>
            </w:pPr>
            <w:r>
              <w:rPr>
                <w:rFonts w:ascii="Times New Roman" w:cs="Times New Roman" w:eastAsia="Times New Roman" w:hAnsi="Times New Roman"/>
                <w:sz w:val="20"/>
                <w:szCs w:val="20"/>
              </w:rPr>
              <w:t xml:space="preserve"/>
            </w:r>
          </w:p>
          <w:p>
            <w:pPr>
              <w:spacing w:after="60"/>
            </w:pPr>
            <w:r>
              <w:rPr>
                <w:rFonts w:ascii="Times New Roman" w:cs="Times New Roman" w:eastAsia="Times New Roman" w:hAnsi="Times New Roman"/>
                <w:sz w:val="20"/>
                <w:szCs w:val="20"/>
              </w:rPr>
              <w:t xml:space="preserve">MR. ARJUN SURESH NAIR</w:t>
            </w:r>
          </w:p>
          <w:p>
            <w:pPr>
              <w:spacing w:after="60"/>
            </w:pPr>
            <w:r>
              <w:rPr>
                <w:rFonts w:ascii="Times New Roman" w:cs="Times New Roman" w:eastAsia="Times New Roman" w:hAnsi="Times New Roman"/>
                <w:sz w:val="20"/>
                <w:szCs w:val="20"/>
              </w:rPr>
              <w:t xml:space="preserve">MRS. KAVYA ARJUN NAIR</w:t>
            </w:r>
          </w:p>
          <w:p>
            <w:pPr>
              <w:spacing w:after="60"/>
            </w:pPr>
            <w:r>
              <w:rPr>
                <w:rFonts w:ascii="Times New Roman" w:cs="Times New Roman" w:eastAsia="Times New Roman" w:hAnsi="Times New Roman"/>
                <w:sz w:val="20"/>
                <w:szCs w:val="20"/>
              </w:rPr>
              <w:t xml:space="preserve"/>
            </w:r>
          </w:p>
          <w:p>
            <w:pPr>
              <w:spacing w:after="60"/>
            </w:pPr>
            <w:r>
              <w:rPr>
                <w:rFonts w:ascii="Times New Roman" w:cs="Times New Roman" w:eastAsia="Times New Roman" w:hAnsi="Times New Roman"/>
                <w:sz w:val="20"/>
                <w:szCs w:val="20"/>
              </w:rPr>
              <w:t xml:space="preserve">Signature: ______________________   ______________________</w:t>
            </w:r>
          </w:p>
        </w:tc>
      </w:tr>
    </w:tbl>
    <w:p>
      <w:pPr>
        <w:spacing w:after="100" w:before="200"/>
      </w:pPr>
      <w:r>
        <w:rPr>
          <w:rFonts w:ascii="Times New Roman" w:cs="Times New Roman" w:eastAsia="Times New Roman" w:hAnsi="Times New Roman"/>
          <w:sz w:val="22"/>
          <w:szCs w:val="22"/>
        </w:rPr>
        <w:t xml:space="preserve">In the presence of WITNESSES: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pPr>
            <w:r>
              <w:rPr>
                <w:rFonts w:ascii="Times New Roman" w:cs="Times New Roman" w:eastAsia="Times New Roman" w:hAnsi="Times New Roman"/>
                <w:sz w:val="20"/>
                <w:szCs w:val="20"/>
              </w:rPr>
              <w:t xml:space="preserve">1. Signature: ______________________</w:t>
            </w:r>
          </w:p>
          <w:p>
            <w:pPr>
              <w:spacing w:after="60"/>
            </w:pPr>
            <w:r>
              <w:rPr>
                <w:rFonts w:ascii="Times New Roman" w:cs="Times New Roman" w:eastAsia="Times New Roman" w:hAnsi="Times New Roman"/>
                <w:sz w:val="20"/>
                <w:szCs w:val="20"/>
              </w:rPr>
              <w:t xml:space="preserve"/>
            </w:r>
          </w:p>
          <w:p>
            <w:pPr>
              <w:spacing w:after="60"/>
            </w:pPr>
            <w:r>
              <w:rPr>
                <w:rFonts w:ascii="Times New Roman" w:cs="Times New Roman" w:eastAsia="Times New Roman" w:hAnsi="Times New Roman"/>
                <w:sz w:val="20"/>
                <w:szCs w:val="20"/>
              </w:rPr>
              <w:t xml:space="preserve">Name: Prakash Dattatray Sawant</w:t>
            </w:r>
          </w:p>
          <w:p>
            <w:pPr>
              <w:spacing w:after="60"/>
            </w:pPr>
            <w:r>
              <w:rPr>
                <w:rFonts w:ascii="Times New Roman" w:cs="Times New Roman" w:eastAsia="Times New Roman" w:hAnsi="Times New Roman"/>
                <w:sz w:val="20"/>
                <w:szCs w:val="20"/>
              </w:rPr>
              <w:t xml:space="preserve">Address: C-22, Shanti Park, Majiwada, Thane 400601</w:t>
            </w:r>
          </w:p>
          <w:p>
            <w:pPr>
              <w:spacing w:after="60"/>
            </w:pPr>
            <w:r>
              <w:rPr>
                <w:rFonts w:ascii="Times New Roman" w:cs="Times New Roman" w:eastAsia="Times New Roman" w:hAnsi="Times New Roman"/>
                <w:sz w:val="20"/>
                <w:szCs w:val="20"/>
              </w:rPr>
              <w:t xml:space="preserve">Mobile: +91 98190 33441</w:t>
            </w:r>
          </w:p>
        </w:tc>
        <w:tc>
          <w:tcPr>
            <w:tcW w:type="dxa" w:w="468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60"/>
            </w:pPr>
            <w:r>
              <w:rPr>
                <w:rFonts w:ascii="Times New Roman" w:cs="Times New Roman" w:eastAsia="Times New Roman" w:hAnsi="Times New Roman"/>
                <w:sz w:val="20"/>
                <w:szCs w:val="20"/>
              </w:rPr>
              <w:t xml:space="preserve">2. Signature: ______________________</w:t>
            </w:r>
          </w:p>
          <w:p>
            <w:pPr>
              <w:spacing w:after="60"/>
            </w:pPr>
            <w:r>
              <w:rPr>
                <w:rFonts w:ascii="Times New Roman" w:cs="Times New Roman" w:eastAsia="Times New Roman" w:hAnsi="Times New Roman"/>
                <w:sz w:val="20"/>
                <w:szCs w:val="20"/>
              </w:rPr>
              <w:t xml:space="preserve"/>
            </w:r>
          </w:p>
          <w:p>
            <w:pPr>
              <w:spacing w:after="60"/>
            </w:pPr>
            <w:r>
              <w:rPr>
                <w:rFonts w:ascii="Times New Roman" w:cs="Times New Roman" w:eastAsia="Times New Roman" w:hAnsi="Times New Roman"/>
                <w:sz w:val="20"/>
                <w:szCs w:val="20"/>
              </w:rPr>
              <w:t xml:space="preserve">Name: Rekha Mohan Joshi</w:t>
            </w:r>
          </w:p>
          <w:p>
            <w:pPr>
              <w:spacing w:after="60"/>
            </w:pPr>
            <w:r>
              <w:rPr>
                <w:rFonts w:ascii="Times New Roman" w:cs="Times New Roman" w:eastAsia="Times New Roman" w:hAnsi="Times New Roman"/>
                <w:sz w:val="20"/>
                <w:szCs w:val="20"/>
              </w:rPr>
              <w:t xml:space="preserve">Address: 7, Gokul Niwas, Charai, Thane 400601</w:t>
            </w:r>
          </w:p>
          <w:p>
            <w:pPr>
              <w:spacing w:after="60"/>
            </w:pPr>
            <w:r>
              <w:rPr>
                <w:rFonts w:ascii="Times New Roman" w:cs="Times New Roman" w:eastAsia="Times New Roman" w:hAnsi="Times New Roman"/>
                <w:sz w:val="20"/>
                <w:szCs w:val="20"/>
              </w:rPr>
              <w:t xml:space="preserve">Mobile: +91 97020 66188</w:t>
            </w:r>
          </w:p>
        </w:tc>
      </w:tr>
    </w:tbl>
    <w:p>
      <w:pPr>
        <w:pageBreakBefore/>
        <w:spacing w:after="120"/>
        <w:jc w:val="center"/>
      </w:pPr>
      <w:r>
        <w:rPr>
          <w:rFonts w:ascii="Times New Roman" w:cs="Times New Roman" w:eastAsia="Times New Roman" w:hAnsi="Times New Roman"/>
          <w:b/>
          <w:bCs/>
          <w:sz w:val="24"/>
          <w:szCs w:val="24"/>
        </w:rPr>
        <w:t xml:space="preserve">ANNEXURE 'A'</w:t>
      </w:r>
    </w:p>
    <w:p>
      <w:pPr>
        <w:spacing w:after="120"/>
        <w:jc w:val="center"/>
      </w:pPr>
      <w:r>
        <w:rPr>
          <w:rFonts w:ascii="Times New Roman" w:cs="Times New Roman" w:eastAsia="Times New Roman" w:hAnsi="Times New Roman"/>
          <w:sz w:val="22"/>
          <w:szCs w:val="22"/>
        </w:rPr>
        <w:t xml:space="preserve">List of fixtures, fittings and furniture provided with the Licensed Premises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60"/>
        <w:gridCol w:w="1300"/>
        <w:gridCol w:w="2800"/>
      </w:tblGrid>
      <w:tr>
        <w:tc>
          <w:tcPr>
            <w:tcW w:type="dxa" w:w="70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Sr.</w:t>
            </w:r>
          </w:p>
        </w:tc>
        <w:tc>
          <w:tcPr>
            <w:tcW w:type="dxa" w:w="456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Item / Description</w:t>
            </w:r>
          </w:p>
        </w:tc>
        <w:tc>
          <w:tcPr>
            <w:tcW w:type="dxa" w:w="130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Qty</w:t>
            </w:r>
          </w:p>
        </w:tc>
        <w:tc>
          <w:tcPr>
            <w:tcW w:type="dxa" w:w="280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r>
              <w:rPr>
                <w:rFonts w:ascii="Times New Roman" w:cs="Times New Roman" w:eastAsia="Times New Roman" w:hAnsi="Times New Roman"/>
                <w:b/>
                <w:bCs/>
                <w:sz w:val="20"/>
                <w:szCs w:val="20"/>
              </w:rPr>
              <w:t xml:space="preserve">Condition at handover</w:t>
            </w:r>
          </w:p>
        </w:tc>
      </w:tr>
      <w:tr>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1</w:t>
            </w:r>
          </w:p>
        </w:tc>
        <w:tc>
          <w:tcPr>
            <w:tcW w:type="dxa" w:w="45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Split air conditioner (1.5 ton) – Master bedroom</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1</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Good, working</w:t>
            </w:r>
          </w:p>
        </w:tc>
      </w:tr>
      <w:tr>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2</w:t>
            </w:r>
          </w:p>
        </w:tc>
        <w:tc>
          <w:tcPr>
            <w:tcW w:type="dxa" w:w="45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Modular kitchen with chimney and hob</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1 set</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Good, working</w:t>
            </w:r>
          </w:p>
        </w:tc>
      </w:tr>
      <w:tr>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3</w:t>
            </w:r>
          </w:p>
        </w:tc>
        <w:tc>
          <w:tcPr>
            <w:tcW w:type="dxa" w:w="45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Queen bed with mattress</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2</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Good</w:t>
            </w:r>
          </w:p>
        </w:tc>
      </w:tr>
      <w:tr>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4</w:t>
            </w:r>
          </w:p>
        </w:tc>
        <w:tc>
          <w:tcPr>
            <w:tcW w:type="dxa" w:w="45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Wardrobe (sliding, 3-door)</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2</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Good; scratch on one door</w:t>
            </w:r>
          </w:p>
        </w:tc>
      </w:tr>
      <w:tr>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5</w:t>
            </w:r>
          </w:p>
        </w:tc>
        <w:tc>
          <w:tcPr>
            <w:tcW w:type="dxa" w:w="45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Refrigerator (310 L, double door)</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1</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Good, working</w:t>
            </w:r>
          </w:p>
        </w:tc>
      </w:tr>
      <w:tr>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6</w:t>
            </w:r>
          </w:p>
        </w:tc>
        <w:tc>
          <w:tcPr>
            <w:tcW w:type="dxa" w:w="45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Washing machine (top load, 8 kg)</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1</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Good, working</w:t>
            </w:r>
          </w:p>
        </w:tc>
      </w:tr>
      <w:tr>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7</w:t>
            </w:r>
          </w:p>
        </w:tc>
        <w:tc>
          <w:tcPr>
            <w:tcW w:type="dxa" w:w="45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Ceiling fans</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6</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Working</w:t>
            </w:r>
          </w:p>
        </w:tc>
      </w:tr>
      <w:tr>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8</w:t>
            </w:r>
          </w:p>
        </w:tc>
        <w:tc>
          <w:tcPr>
            <w:tcW w:type="dxa" w:w="45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Geyser (25 L)</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2</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Working</w:t>
            </w:r>
          </w:p>
        </w:tc>
      </w:tr>
      <w:tr>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9</w:t>
            </w:r>
          </w:p>
        </w:tc>
        <w:tc>
          <w:tcPr>
            <w:tcW w:type="dxa" w:w="45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Dining table with 4 chairs</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1 set</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Minor stain on tabletop</w:t>
            </w:r>
          </w:p>
        </w:tc>
      </w:tr>
      <w:tr>
        <w:tc>
          <w:tcPr>
            <w:tcW w:type="dxa" w:w="7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10</w:t>
            </w:r>
          </w:p>
        </w:tc>
        <w:tc>
          <w:tcPr>
            <w:tcW w:type="dxa" w:w="45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Keys: main door 3, bedroom 2, parking remote 1, access card 2</w:t>
            </w:r>
          </w:p>
        </w:tc>
        <w:tc>
          <w:tcPr>
            <w:tcW w:type="dxa" w:w="13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0"/>
                <w:szCs w:val="20"/>
              </w:rPr>
              <w:t xml:space="preserve">Handed over</w:t>
            </w:r>
          </w:p>
        </w:tc>
      </w:tr>
    </w:tbl>
    <w:p>
      <w:pPr>
        <w:spacing w:after="120" w:before="160"/>
      </w:pPr>
      <w:r>
        <w:rPr>
          <w:rFonts w:ascii="Times New Roman" w:cs="Times New Roman" w:eastAsia="Times New Roman" w:hAnsi="Times New Roman"/>
          <w:sz w:val="22"/>
          <w:szCs w:val="22"/>
        </w:rPr>
        <w:t xml:space="preserve">Meter readings at handover (1st January 2027): Electricity: 07184 units; Piped gas: 00096 SCM.</w:t>
      </w:r>
    </w:p>
    <w:p>
      <w:pPr>
        <w:spacing w:after="120"/>
      </w:pPr>
      <w:r>
        <w:rPr>
          <w:rFonts w:ascii="Times New Roman" w:cs="Times New Roman" w:eastAsia="Times New Roman" w:hAnsi="Times New Roman"/>
          <w:sz w:val="22"/>
          <w:szCs w:val="22"/>
        </w:rPr>
        <w:t xml:space="preserve">Parking: Licensees' vehicle – Hyundai Creta, Registration No. MH 04 KT 2718, to be parked at slot P-114.</w:t>
      </w:r>
    </w:p>
    <w:p>
      <w:pPr>
        <w:spacing w:after="120" w:before="300"/>
      </w:pPr>
      <w:r>
        <w:rPr>
          <w:rFonts w:ascii="Times New Roman" w:cs="Times New Roman" w:eastAsia="Times New Roman" w:hAnsi="Times New Roman"/>
          <w:b/>
          <w:bCs/>
          <w:sz w:val="22"/>
          <w:szCs w:val="22"/>
        </w:rPr>
        <w:t xml:space="preserve">RECEIPT OF SECURITY DEPOSIT</w:t>
      </w:r>
    </w:p>
    <w:p>
      <w:pPr>
        <w:spacing w:after="120" w:line="276"/>
        <w:jc w:val="both"/>
      </w:pPr>
      <w:r>
        <w:rPr>
          <w:rFonts w:ascii="Times New Roman" w:cs="Times New Roman" w:eastAsia="Times New Roman" w:hAnsi="Times New Roman"/>
          <w:sz w:val="22"/>
          <w:szCs w:val="22"/>
        </w:rPr>
        <w:t xml:space="preserve">Received with thanks from Mr. Arjun Suresh Nair and Mrs. Kavya Arjun Nair a sum of Rs. 2,28,000/- (Rupees Two Lakh Twenty-Eight Thousand only) by NEFT bearing UTR No. KKBKN52026122398765432 dated 23rd December 2026, drawn on Kotak Mahindra Bank, towards the interest-free refundable Security Deposit for Flat No. B-1203, 12th Floor, B Wing, Lakeview Heights, Ghodbunder Road, Hiranandani Estate, Thane (West) 400607.</w:t>
      </w:r>
    </w:p>
    <w:p>
      <w:pPr>
        <w:spacing w:after="120" w:before="120"/>
      </w:pPr>
      <w:r>
        <w:rPr>
          <w:rFonts w:ascii="Times New Roman" w:cs="Times New Roman" w:eastAsia="Times New Roman" w:hAnsi="Times New Roman"/>
          <w:sz w:val="22"/>
          <w:szCs w:val="22"/>
        </w:rPr>
        <w:t xml:space="preserve">Date: 24th December 2026          Signature of Licensor's Attorney: ____________________</w:t>
      </w:r>
    </w:p>
    <w:p>
      <w:pPr>
        <w:spacing w:before="200"/>
      </w:pPr>
      <w:r>
        <w:rPr>
          <w:rFonts w:ascii="Times New Roman" w:cs="Times New Roman" w:eastAsia="Times New Roman" w:hAnsi="Times New Roman"/>
          <w:i/>
          <w:iCs/>
          <w:sz w:val="20"/>
          <w:szCs w:val="20"/>
        </w:rPr>
        <w:t xml:space="preserve">Registration: Sub-Registrar of Assurances, Thane – Document Serial No. ______ / 2026 – Presented on: ____________</w:t>
      </w:r>
    </w:p>
    <w:sectPr>
      <w:footerReference w:type="default" r:id="rId7"/>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6"/>
        <w:szCs w:val="16"/>
      </w:rPr>
      <w:t xml:space="preserve">ContractLens ground-truth annotated copy – fictional test data   |   Page </w:t>
    </w:r>
    <w:r>
      <w:rPr>
        <w:rFonts w:ascii="Times New Roman" w:cs="Times New Roman" w:eastAsia="Times New Roman" w:hAnsi="Times New Roman"/>
        <w:color w:val="666666"/>
        <w:sz w:val="16"/>
        <w:szCs w:val="16"/>
      </w:rPr>
      <w:fldChar w:fldCharType="begin"/>
      <w:instrText xml:space="preserve">PAGE</w:instrText>
      <w:fldChar w:fldCharType="separate"/>
      <w:fldChar w:fldCharType="end"/>
    </w:r>
    <w:r>
      <w:rPr>
        <w:rFonts w:ascii="Times New Roman" w:cs="Times New Roman" w:eastAsia="Times New Roman" w:hAnsi="Times New Roman"/>
        <w:color w:val="666666"/>
        <w:sz w:val="16"/>
        <w:szCs w:val="16"/>
      </w:rPr>
      <w:t xml:space="preserve"> of </w:t>
    </w:r>
    <w:r>
      <w:rPr>
        <w:rFonts w:ascii="Times New Roman" w:cs="Times New Roman" w:eastAsia="Times New Roman" w:hAnsi="Times New Roman"/>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2026-10-05T15:33:14.591Z</dcterms:created>
  <dcterms:modified xsi:type="dcterms:W3CDTF">2026-10-05T15:33:14.591Z</dcterms:modified>
</cp:coreProperties>
</file>

<file path=docProps/custom.xml><?xml version="1.0" encoding="utf-8"?>
<Properties xmlns="http://schemas.openxmlformats.org/officeDocument/2006/custom-properties" xmlns:vt="http://schemas.openxmlformats.org/officeDocument/2006/docPropsVTypes"/>
</file>