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AISEHack 2.0 Round 2 — Methodology Report — Team GDHTM</w:t>
      </w:r>
    </w:p>
    <w:bookmarkStart w:id="46" w:name="Xe232ec6927617d224f6fcf6fa911cd6418366ba"/>
    <w:p>
      <w:pPr>
        <w:pStyle w:val="Heading1"/>
      </w:pPr>
      <w:r>
        <w:t xml:space="preserve">Dasymetric Mapping of Exact Crop Statistics to Parcel Level from X-band SAR</w:t>
      </w:r>
    </w:p>
    <w:bookmarkStart w:id="20" w:name="X153e5d6a8292a040c1865b06af215ff5dcdc363"/>
    <w:p>
      <w:pPr>
        <w:pStyle w:val="Heading3"/>
      </w:pPr>
      <w:r>
        <w:t xml:space="preserve">Crop type, health index and yield-to-date for 966 farms — ANRF AISEHack 2.0, Round 2</w:t>
      </w:r>
    </w:p>
    <w:p>
      <w:pPr>
        <w:pStyle w:val="FirstParagraph"/>
      </w:pPr>
      <w:r>
        <w:rPr>
          <w:b/>
          <w:bCs/>
        </w:rPr>
        <w:t xml:space="preserve">Team GDHTM</w:t>
      </w:r>
      <w:r>
        <w:t xml:space="preserve"> </w:t>
      </w:r>
      <w:r>
        <w:t xml:space="preserve">— Yash Sorathiya · Jenish Sorathiya · Yajurshi Velani · Mahi Parmar · Aayush Pandya</w:t>
      </w:r>
      <w:r>
        <w:br/>
      </w:r>
      <w:r>
        <w:rPr>
          <w:b/>
          <w:bCs/>
        </w:rPr>
        <w:t xml:space="preserve">Study area:</w:t>
      </w:r>
      <w:r>
        <w:t xml:space="preserve"> </w:t>
      </w:r>
      <w:r>
        <w:t xml:space="preserve">Sokhda village (</w:t>
      </w:r>
      <w:r>
        <w:rPr>
          <w:rStyle w:val="VerbatimChar"/>
        </w:rPr>
        <w:t xml:space="preserve">village_id</w:t>
      </w:r>
      <w:r>
        <w:t xml:space="preserve"> </w:t>
      </w:r>
      <w:r>
        <w:t xml:space="preserve">1), Vadodara district, Gujarat — 966 farm parcels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four Capella X-band HH SLC acquisitions — 6 Jun, 19 Jun, 14 Aug, 13 Oct 2025 (kharif)</w:t>
      </w:r>
    </w:p>
    <w:p>
      <w:r>
        <w:pict>
          <v:rect style="width:0;height:1.5pt" o:hralign="center" o:hrstd="t" o:hr="t"/>
        </w:pict>
      </w:r>
    </w:p>
    <w:bookmarkEnd w:id="20"/>
    <w:bookmarkStart w:id="24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Every value in</w:t>
      </w:r>
      <w:r>
        <w:t xml:space="preserve"> </w:t>
      </w:r>
      <w:r>
        <w:rPr>
          <w:rStyle w:val="VerbatimChar"/>
        </w:rPr>
        <w:t xml:space="preserve">submission.csv</w:t>
      </w:r>
      <w:r>
        <w:t xml:space="preserve"> </w:t>
      </w:r>
      <w:r>
        <w:t xml:space="preserve">is derived from the four provided Capella X-band scenes. Sentinel-1</w:t>
      </w:r>
      <w:r>
        <w:t xml:space="preserve"> </w:t>
      </w:r>
      <w:r>
        <w:t xml:space="preserve">and Sentinel-2 appear in this project</w:t>
      </w:r>
      <w:r>
        <w:t xml:space="preserve"> </w:t>
      </w:r>
      <w:r>
        <w:rPr>
          <w:b/>
          <w:bCs/>
        </w:rPr>
        <w:t xml:space="preserve">only as independent witnesses</w:t>
      </w:r>
      <w:r>
        <w:t xml:space="preserve"> </w:t>
      </w:r>
      <w:r>
        <w:t xml:space="preserve">— they are used to test the</w:t>
      </w:r>
      <w:r>
        <w:t xml:space="preserve"> </w:t>
      </w:r>
      <w:r>
        <w:t xml:space="preserve">product after it is built, and no optical or C-band measurement enters any shipped number. That</w:t>
      </w:r>
      <w:r>
        <w:t xml:space="preserve"> </w:t>
      </w:r>
      <w:r>
        <w:t xml:space="preserve">separation is deliberate: it keeps the Capella imagery the primary source as the guidelines require,</w:t>
      </w:r>
      <w:r>
        <w:t xml:space="preserve"> </w:t>
      </w:r>
      <w:r>
        <w:t xml:space="preserve">and it means our validation is genuinely independent rather than self-confirming.</w:t>
      </w:r>
    </w:p>
    <w:p>
      <w:pPr>
        <w:pStyle w:val="BodyText"/>
      </w:pPr>
      <w:r>
        <w:rPr>
          <w:b/>
          <w:bCs/>
        </w:rPr>
        <w:t xml:space="preserve">One technique, applied twice.</w:t>
      </w:r>
      <w:r>
        <w:t xml:space="preserve"> </w:t>
      </w:r>
      <w:r>
        <w:t xml:space="preserve">Everything known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about Sokhda is an aggregate: Round 1's</w:t>
      </w:r>
      <w:r>
        <w:t xml:space="preserve"> </w:t>
      </w:r>
      <w:r>
        <w:t xml:space="preserve">crop-area shares are exact at village level, the yield anchor at district level. Nothing is known</w:t>
      </w:r>
      <w:r>
        <w:t xml:space="preserve"> </w:t>
      </w:r>
      <w:r>
        <w:t xml:space="preserve">exactly per farm — which is what the brief asks for. Both quantities are therefore built the same</w:t>
      </w:r>
      <w:r>
        <w:t xml:space="preserve"> </w:t>
      </w:r>
      <w:r>
        <w:t xml:space="preserve">way: take the exact aggregate, and let the SAR supply only the variation inside it. Distributing a</w:t>
      </w:r>
      <w:r>
        <w:t xml:space="preserve"> </w:t>
      </w:r>
      <w:r>
        <w:t xml:space="preserve">known total across finer units using an ancillary variable correlated with the true distribution is</w:t>
      </w:r>
      <w:r>
        <w:t xml:space="preserve"> </w:t>
      </w:r>
      <w:r>
        <w:rPr>
          <w:b/>
          <w:bCs/>
        </w:rPr>
        <w:t xml:space="preserve">dasymetric mapping</w:t>
      </w:r>
      <w:r>
        <w:t xml:space="preserve">, and it is the spine of this pipeline.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 exactly</w:t>
            </w:r>
          </w:p>
        </w:tc>
        <w:tc>
          <w:tcPr/>
          <w:p>
            <w:pPr>
              <w:pStyle w:val="Compact"/>
            </w:pPr>
            <w:r>
              <w:t xml:space="preserve">disaggregated to</w:t>
            </w:r>
          </w:p>
        </w:tc>
        <w:tc>
          <w:tcPr/>
          <w:p>
            <w:pPr>
              <w:pStyle w:val="Compact"/>
            </w:pPr>
            <w:r>
              <w:t xml:space="preserve">ancillary variable from Capella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1 village crop-area shares (MSE 0.000)</w:t>
            </w:r>
          </w:p>
        </w:tc>
        <w:tc>
          <w:tcPr/>
          <w:p>
            <w:pPr>
              <w:pStyle w:val="Compact"/>
            </w:pPr>
            <w:r>
              <w:t xml:space="preserve">966 parcel crop labels</w:t>
            </w:r>
          </w:p>
        </w:tc>
        <w:tc>
          <w:tcPr/>
          <w:p>
            <w:pPr>
              <w:pStyle w:val="Compact"/>
            </w:pPr>
            <w:r>
              <w:t xml:space="preserve">per-farm soft evidence, area-constrained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Vadodara district yield (APY)</w:t>
            </w:r>
          </w:p>
        </w:tc>
        <w:tc>
          <w:tcPr/>
          <w:p>
            <w:pPr>
              <w:pStyle w:val="Compact"/>
            </w:pPr>
            <w:r>
              <w:t xml:space="preserve">966 parcel t/ha</w:t>
            </w:r>
          </w:p>
        </w:tc>
        <w:tc>
          <w:tcPr/>
          <w:p>
            <w:pPr>
              <w:pStyle w:val="Compact"/>
            </w:pPr>
            <w:r>
              <w:t xml:space="preserve">completion × accumulation</w:t>
            </w:r>
          </w:p>
        </w:tc>
      </w:tr>
    </w:tbl>
    <w:p>
      <w:pPr>
        <w:pStyle w:val="BodyText"/>
      </w:pPr>
      <w:r>
        <w:t xml:space="preserve">The health index is the one deliverable with no exact aggregate to anchor to, so it is scored as a</w:t>
      </w:r>
      <w:r>
        <w:t xml:space="preserve"> </w:t>
      </w:r>
      <w:r>
        <w:rPr>
          <w:b/>
          <w:bCs/>
        </w:rPr>
        <w:t xml:space="preserve">rank within crop</w:t>
      </w:r>
      <w:r>
        <w:t xml:space="preserve"> </w:t>
      </w:r>
      <w:r>
        <w:t xml:space="preserve">rather than an absolute level — the same discipline applied to a quantity that</w:t>
      </w:r>
      <w:r>
        <w:t xml:space="preserve"> </w:t>
      </w:r>
      <w:r>
        <w:t xml:space="preserve">has no total to honour.</w:t>
      </w:r>
    </w:p>
    <w:p>
      <w:pPr>
        <w:pStyle w:val="BodyText"/>
      </w:pPr>
      <w:r>
        <w:drawing>
          <wp:inline>
            <wp:extent cx="5334000" cy="3278244"/>
            <wp:effectExtent b="0" l="0" r="0" t="0"/>
            <wp:docPr descr="Figure 1" title="" id="22" name="Picture"/>
            <a:graphic>
              <a:graphicData uri="http://schemas.openxmlformats.org/drawingml/2006/picture">
                <pic:pic>
                  <pic:nvPicPr>
                    <pic:cNvPr descr="figures/gallery_00_method_overvie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1. What feeds what. No arrow runs from a witness into a deliverable; auxiliary inputs that do feed the product are drawn in amber and labelled as inputs.</w:t>
      </w:r>
    </w:p>
    <w:p>
      <w:pPr>
        <w:pStyle w:val="BodyText"/>
      </w:pPr>
      <w:r>
        <w:t xml:space="preserve">We report the checks that failed as prominently as those that passed. Three findings in §6 are</w:t>
      </w:r>
      <w:r>
        <w:t xml:space="preserve"> </w:t>
      </w:r>
      <w:r>
        <w:t xml:space="preserve">negative, and one of them forced a sign correction in the shipped yield column.</w:t>
      </w:r>
    </w:p>
    <w:bookmarkEnd w:id="24"/>
    <w:bookmarkStart w:id="25" w:name="Xe573b9e604cb6bb5201e4385e8a00461d6bfb7a"/>
    <w:p>
      <w:pPr>
        <w:pStyle w:val="Heading2"/>
      </w:pPr>
      <w:r>
        <w:t xml:space="preserve">2. Preprocessing workflow</w:t>
      </w:r>
    </w:p>
    <w:p>
      <w:pPr>
        <w:pStyle w:val="FirstParagraph"/>
      </w:pPr>
      <w:r>
        <w:rPr>
          <w:b/>
          <w:bCs/>
        </w:rPr>
        <w:t xml:space="preserve">Radiometry.</w:t>
      </w:r>
      <w:r>
        <w:t xml:space="preserve"> </w:t>
      </w:r>
      <w:r>
        <w:t xml:space="preserve">Capella SLC pixels are complex. We form the brightness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β</m:t>
              </m:r>
            </m:e>
            <m:sup>
              <m:r>
                <m:t>0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nor/>
              <m:sty m:val="p"/>
            </m:rPr>
            <m:t>scale_factor</m:t>
          </m:r>
          <m:r>
            <m:rPr>
              <m:sty m:val="p"/>
            </m:rPr>
            <m:t>⋅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following the product's own</w:t>
      </w:r>
      <w:r>
        <w:t xml:space="preserve"> </w:t>
      </w:r>
      <w:r>
        <w:rPr>
          <w:rStyle w:val="VerbatimChar"/>
        </w:rPr>
        <w:t xml:space="preserve">radiometry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beta_nought</w:t>
      </w:r>
      <w:r>
        <w:t xml:space="preserve">) and the ESA EDAP guidance, then</w:t>
      </w:r>
      <w:r>
        <w:t xml:space="preserve"> </w:t>
      </w:r>
      <w:r>
        <w:t xml:space="preserve">convert to the terrain-referenced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t>0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β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pStyle w:val="FirstParagraph"/>
      </w:pPr>
      <w:r>
        <w:t xml:space="preserve">using a</w:t>
      </w:r>
      <w:r>
        <w:t xml:space="preserve"> </w:t>
      </w:r>
      <w:r>
        <w:rPr>
          <w:b/>
          <w:bCs/>
        </w:rPr>
        <w:t xml:space="preserve">per-pixel</w:t>
      </w:r>
      <w:r>
        <w:t xml:space="preserve"> </w:t>
      </w:r>
      <w:r>
        <w:t xml:space="preserve">incidence angle</w:t>
      </w:r>
      <w:r>
        <w:t xml:space="preserve"> </w:t>
      </w:r>
      <m:oMath>
        <m:r>
          <m:t>θ</m:t>
        </m:r>
      </m:oMath>
      <w:r>
        <w:t xml:space="preserve">. The angle field is reconstructed from the orbit</w:t>
      </w:r>
      <w:r>
        <w:t xml:space="preserve"> </w:t>
      </w:r>
      <w:r>
        <w:t xml:space="preserve">state vectors rather than assumed constant across the scene; it agrees with the product metadata to</w:t>
      </w:r>
      <w:r>
        <w:t xml:space="preserve"> </w:t>
      </w:r>
      <w:r>
        <w:t xml:space="preserve">0.006°. Using γ⁰ rather than σ⁰ removes the first-order dependence on local geometry, which matters</w:t>
      </w:r>
      <w:r>
        <w:t xml:space="preserve"> </w:t>
      </w:r>
      <w:r>
        <w:t xml:space="preserve">here because the four acquisitions span 28.7°–35.2° in incidence.</w:t>
      </w:r>
    </w:p>
    <w:p>
      <w:pPr>
        <w:pStyle w:val="BodyText"/>
      </w:pPr>
      <w:r>
        <w:rPr>
          <w:b/>
          <w:bCs/>
        </w:rPr>
        <w:t xml:space="preserve">Geocoding.</w:t>
      </w:r>
      <w:r>
        <w:t xml:space="preserve"> </w:t>
      </w:r>
      <w:r>
        <w:t xml:space="preserve">Slant range to EPSG:32643 using the 225 ground control points supplied with each</w:t>
      </w:r>
      <w:r>
        <w:t xml:space="preserve"> </w:t>
      </w:r>
      <w:r>
        <w:t xml:space="preserve">product. Resampling is by</w:t>
      </w:r>
      <w:r>
        <w:t xml:space="preserve"> </w:t>
      </w:r>
      <w:r>
        <w:rPr>
          <w:b/>
          <w:bCs/>
        </w:rPr>
        <w:t xml:space="preserve">averaging</w:t>
      </w:r>
      <w:r>
        <w:t xml:space="preserve">, which performs the multi-look in the same step and avoids a</w:t>
      </w:r>
      <w:r>
        <w:t xml:space="preserve"> </w:t>
      </w:r>
      <w:r>
        <w:t xml:space="preserve">second interpolation. Two grids are produced: a 5 m base grid for per-farm statistics and a 2 m fine</w:t>
      </w:r>
      <w:r>
        <w:t xml:space="preserve"> </w:t>
      </w:r>
      <w:r>
        <w:t xml:space="preserve">grid for texture.</w:t>
      </w:r>
    </w:p>
    <w:p>
      <w:pPr>
        <w:pStyle w:val="BodyText"/>
      </w:pPr>
      <w:r>
        <w:rPr>
          <w:b/>
          <w:bCs/>
        </w:rPr>
        <w:t xml:space="preserve">Per-farm extraction.</w:t>
      </w:r>
      <w:r>
        <w:t xml:space="preserve"> </w:t>
      </w:r>
      <w:r>
        <w:t xml:space="preserve">Each parcel is eroded before sampling so that boundary-straddling pixels do</w:t>
      </w:r>
      <w:r>
        <w:t xml:space="preserve"> </w:t>
      </w:r>
      <w:r>
        <w:t xml:space="preserve">not mix two fields. Where erosion would empty a small parcel, a documented fallback ladder applies</w:t>
      </w:r>
      <w:r>
        <w:t xml:space="preserve"> </w:t>
      </w:r>
      <w:r>
        <w:t xml:space="preserve">(erode → unbuffered → centroid). Coverage is complete:</w:t>
      </w:r>
      <w:r>
        <w:t xml:space="preserve"> </w:t>
      </w:r>
      <w:r>
        <w:rPr>
          <w:b/>
          <w:bCs/>
        </w:rPr>
        <w:t xml:space="preserve">966 of 966 farms carry a row</w:t>
      </w:r>
      <w:r>
        <w:t xml:space="preserve"> </w:t>
      </w:r>
      <w:r>
        <w:t xml:space="preserve">— 895</w:t>
      </w:r>
      <w:r>
        <w:t xml:space="preserve"> </w:t>
      </w:r>
      <w:r>
        <w:t xml:space="preserve">measured directly, 52 filled by spatial nearest-neighbour imputation from adjacent farms of the same</w:t>
      </w:r>
      <w:r>
        <w:t xml:space="preserve"> </w:t>
      </w:r>
      <w:r>
        <w:t xml:space="preserve">crop, and 19 flagged for radio-frequency interference. Every row carries its provenance in</w:t>
      </w:r>
      <w:r>
        <w:t xml:space="preserve"> </w:t>
      </w:r>
      <w:r>
        <w:rPr>
          <w:rStyle w:val="VerbatimChar"/>
        </w:rPr>
        <w:t xml:space="preserve">d4_debug.csv</w:t>
      </w:r>
      <w:r>
        <w:t xml:space="preserve">. Missing coverage is spatially clustered in the north-west rather than random, which</w:t>
      </w:r>
      <w:r>
        <w:t xml:space="preserve"> </w:t>
      </w:r>
      <w:r>
        <w:t xml:space="preserve">is why imputation borrows from neighbours of the same crop instead of using a village mean.</w:t>
      </w:r>
    </w:p>
    <w:p>
      <w:pPr>
        <w:pStyle w:val="BodyText"/>
      </w:pPr>
      <w:r>
        <w:rPr>
          <w:b/>
          <w:bCs/>
        </w:rPr>
        <w:t xml:space="preserve">Absolute calibration is not claimed.</w:t>
      </w:r>
      <w:r>
        <w:t xml:space="preserve"> </w:t>
      </w:r>
      <w:r>
        <w:t xml:space="preserve">Our γ⁰ reads about +17 dB above the physically expected</w:t>
      </w:r>
      <w:r>
        <w:t xml:space="preserve"> </w:t>
      </w:r>
      <w:r>
        <w:t xml:space="preserve">level. ESA's EDAP assessment notes that Capella's absolute accuracy is not declared while its</w:t>
      </w:r>
      <w:r>
        <w:t xml:space="preserve"> </w:t>
      </w:r>
      <w:r>
        <w:t xml:space="preserve">relative accuracy is good — exactly the condition we observe. Every downstream quantity is therefore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difference between dates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rank within a crop</w:t>
      </w:r>
      <w:r>
        <w:t xml:space="preserve">, never an absolute level. This is verified,</w:t>
      </w:r>
      <w:r>
        <w:t xml:space="preserve"> </w:t>
      </w:r>
      <w:r>
        <w:t xml:space="preserve">not asserted: our between-farm spread on 13 Oct is 1.48 dB against the Sentinel-1 witness's 1.82 dB,</w:t>
      </w:r>
      <w:r>
        <w:t xml:space="preserve"> </w:t>
      </w:r>
      <w:r>
        <w:t xml:space="preserve">so the contrasts survive even though the level does not.</w:t>
      </w:r>
    </w:p>
    <w:bookmarkEnd w:id="25"/>
    <w:bookmarkStart w:id="26" w:name="X9b8d5d1b2c6b4ce04d9a266060c6634769ef9e4"/>
    <w:p>
      <w:pPr>
        <w:pStyle w:val="Heading2"/>
      </w:pPr>
      <w:r>
        <w:t xml:space="preserve">3. Crop type — Round 1 applied to the new boundaries</w:t>
      </w:r>
    </w:p>
    <w:p>
      <w:pPr>
        <w:pStyle w:val="FirstParagraph"/>
      </w:pPr>
      <w:r>
        <w:t xml:space="preserve">Per-farm soft evidence is built from X-band features with a physical basis — the 19 June</w:t>
      </w:r>
      <w:r>
        <w:t xml:space="preserve"> </w:t>
      </w:r>
      <w:r>
        <w:t xml:space="preserve">flood/double-bounce response for rice, August volume scattering for cotton, and the</w:t>
      </w:r>
      <w:r>
        <w:t xml:space="preserve"> </w:t>
      </w:r>
      <w:r>
        <w:t xml:space="preserve">August-minus-June difference. These give per-farm class probabilities, which are then biased until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area-weighted argmax shares match the Round 1 shares exactly</w:t>
      </w:r>
      <w:r>
        <w:t xml:space="preserve">. Area weighting is used because</w:t>
      </w:r>
      <w:r>
        <w:t xml:space="preserve"> </w:t>
      </w:r>
      <w:r>
        <w:t xml:space="preserve">the Round 1 quantity is an area share; weighting by farm count would satisfy the wrong constraint.</w:t>
      </w:r>
    </w:p>
    <w:p>
      <w:pPr>
        <w:pStyle w:val="BodyText"/>
      </w:pPr>
      <w:r>
        <w:t xml:space="preserve">This is a deliberate design choice with a measured justification. In Round 1, free per-pixel</w:t>
      </w:r>
      <w:r>
        <w:t xml:space="preserve"> </w:t>
      </w:r>
      <w:r>
        <w:t xml:space="preserve">assignment scored 5×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assigning nothing at all, so the village mix is treated as a</w:t>
      </w:r>
      <w:r>
        <w:t xml:space="preserve"> </w:t>
      </w:r>
      <w:r>
        <w:t xml:space="preserve">constraint to be honoured rather than a quantity to be re-inferred. The consequence is stated plainly</w:t>
      </w:r>
      <w:r>
        <w:t xml:space="preserve"> </w:t>
      </w:r>
      <w:r>
        <w:t xml:space="preserve">in §6: the village composition is well constrained, the individual farm label is not.</w:t>
      </w:r>
    </w:p>
    <w:p>
      <w:pPr>
        <w:pStyle w:val="BodyText"/>
      </w:pPr>
      <w:r>
        <w:t xml:space="preserve">One Round 1 signature was re-validated and imported. Testing all Round 1 feature signs against its</w:t>
      </w:r>
      <w:r>
        <w:t xml:space="preserve"> </w:t>
      </w:r>
      <w:r>
        <w:t xml:space="preserve">exact truth, 13 of 15 agree, but Groundnut × NDVI-entropy significantly contradicts it (ρ −0.531,</w:t>
      </w:r>
      <w:r>
        <w:t xml:space="preserve"> </w:t>
      </w:r>
      <w:r>
        <w:t xml:space="preserve">p = 0.003) — evidence that the tail of the Round 1 ladder partly fitted leaderboard noise. Only the</w:t>
      </w:r>
      <w:r>
        <w:t xml:space="preserve"> </w:t>
      </w:r>
      <w:r>
        <w:t xml:space="preserve">rice August-minus-June signature cleared all four of our transfer tests and was shipped.</w:t>
      </w:r>
    </w:p>
    <w:bookmarkEnd w:id="26"/>
    <w:bookmarkStart w:id="30" w:name="X88448e3f5622fc0c12ef202f0333b2494088003"/>
    <w:p>
      <w:pPr>
        <w:pStyle w:val="Heading2"/>
      </w:pPr>
      <w:r>
        <w:t xml:space="preserve">4. Crop health index</w:t>
      </w:r>
    </w:p>
    <w:p>
      <w:pPr>
        <w:pStyle w:val="FirstParagraph"/>
      </w:pPr>
      <w:r>
        <w:t xml:space="preserve">The index combines four families, each z-scored across farms: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August γ⁰</w:t>
            </w:r>
          </w:p>
        </w:tc>
        <w:tc>
          <w:tcPr/>
          <w:p>
            <w:pPr>
              <w:pStyle w:val="Compact"/>
            </w:pPr>
            <w:r>
              <w:t xml:space="preserve">peak canopy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14 Aug − 19 Jun</w:t>
            </w:r>
          </w:p>
        </w:tc>
        <w:tc>
          <w:tcPr/>
          <w:p>
            <w:pPr>
              <w:pStyle w:val="Compact"/>
            </w:pPr>
            <w:r>
              <w:t xml:space="preserve">the only geometry-matched date pair (0.076° apart)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−(within-farm CV)</w:t>
            </w:r>
          </w:p>
        </w:tc>
        <w:tc>
          <w:tcPr/>
          <w:p>
            <w:pPr>
              <w:pStyle w:val="Compact"/>
            </w:pPr>
            <w:r>
              <w:t xml:space="preserve">a patchy stand means gaps, waterlogging or pest damage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season integral</w:t>
            </w:r>
          </w:p>
        </w:tc>
        <w:tc>
          <w:tcPr/>
          <w:p>
            <w:pPr>
              <w:pStyle w:val="Compact"/>
            </w:pPr>
            <w:r>
              <w:t xml:space="preserve">canopy held across the season, not on one lucky 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Weights are derived, not chosen.</w:t>
      </w:r>
      <w:r>
        <w:t xml:space="preserve"> </w:t>
      </w:r>
      <w:r>
        <w:t xml:space="preserve">Each family's weight is inversely proportional to its total</w:t>
      </w:r>
      <w:r>
        <w:t xml:space="preserve"> </w:t>
      </w:r>
      <w:r>
        <w:t xml:space="preserve">absolute correlation with the others,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ρ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e>
                </m:d>
              </m:e>
            </m:d>
          </m:e>
        </m:nary>
      </m:oMath>
      <w:r>
        <w:t xml:space="preserve">, giving</w:t>
      </w:r>
      <w:r>
        <w:t xml:space="preserve"> </w:t>
      </w:r>
      <w:r>
        <w:rPr>
          <w:rStyle w:val="VerbatimChar"/>
        </w:rPr>
        <w:t xml:space="preserve">growth</w:t>
      </w:r>
      <w:r>
        <w:t xml:space="preserve"> </w:t>
      </w:r>
      <w:r>
        <w:t xml:space="preserve">0.283,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0.301,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0.228,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0.189. The rule reads only the feature matrix and is blind to every witness</w:t>
      </w:r>
      <w:r>
        <w:t xml:space="preserve"> </w:t>
      </w:r>
      <w:r>
        <w:t xml:space="preserve">by construction — weights tuned by watching NDVI would convert a held-out check into a fitting</w:t>
      </w:r>
      <w:r>
        <w:t xml:space="preserve"> </w:t>
      </w:r>
      <w:r>
        <w:t xml:space="preserve">target. Notably, this blind rule outperformed every hand-tuned variant we tried.</w:t>
      </w:r>
    </w:p>
    <w:p>
      <w:pPr>
        <w:pStyle w:val="BodyText"/>
      </w:pPr>
      <w:r>
        <w:rPr>
          <w:b/>
          <w:bCs/>
        </w:rPr>
        <w:t xml:space="preserve">Scored within crop.</w:t>
      </w:r>
      <w:r>
        <w:t xml:space="preserve"> </w:t>
      </w:r>
      <w:r>
        <w:t xml:space="preserve">Cotton and groundnut differ by roughly 4 dB for reasons unrelated to health,</w:t>
      </w:r>
      <w:r>
        <w:t xml:space="preserve"> </w:t>
      </w:r>
      <w:r>
        <w:t xml:space="preserve">so a pooled score would largely re-measure crop type. Each farm is scored against its own crop's</w:t>
      </w:r>
      <w:r>
        <w:t xml:space="preserve"> </w:t>
      </w:r>
      <w:r>
        <w:t xml:space="preserve">median, so 50 means "typical for this crop", and the score is a bounded transform of a robust</w:t>
      </w:r>
      <w:r>
        <w:t xml:space="preserve"> </w:t>
      </w:r>
      <w:r>
        <w:t xml:space="preserve">z-score rather than a percentile rank, which preserves the size of a difference instead of flattening</w:t>
      </w:r>
      <w:r>
        <w:t xml:space="preserve"> </w:t>
      </w:r>
      <w:r>
        <w:t xml:space="preserve">it to a rank.</w:t>
      </w:r>
    </w:p>
    <w:p>
      <w:pPr>
        <w:pStyle w:val="BodyText"/>
      </w:pPr>
      <w:r>
        <w:drawing>
          <wp:inline>
            <wp:extent cx="5334000" cy="3683844"/>
            <wp:effectExtent b="0" l="0" r="0" t="0"/>
            <wp:docPr descr="Figure 2" title="" id="28" name="Picture"/>
            <a:graphic>
              <a:graphicData uri="http://schemas.openxmlformats.org/drawingml/2006/picture">
                <pic:pic>
                  <pic:nvPicPr>
                    <pic:cNvPr descr="figures/gallery_01_health_index_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2. Farm-level Crop Health Index, 13 October 2025. Within-crop scoring centres every crop at 50 by construction; the histogram states this rather than letting it read as a result.</w:t>
      </w:r>
    </w:p>
    <w:bookmarkEnd w:id="30"/>
    <w:bookmarkStart w:id="34" w:name="X839b3515c83b0802c0118fbfdca746b4e54e58a"/>
    <w:p>
      <w:pPr>
        <w:pStyle w:val="Heading2"/>
      </w:pPr>
      <w:r>
        <w:t xml:space="preserve">5. Yield to date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yield_to_date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sSub>
                    <m:e>
                      <m:r>
                        <m:rPr>
                          <m:nor/>
                          <m:sty m:val="p"/>
                        </m:rPr>
                        <m:t>anchor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district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level, from statistics</m:t>
              </m:r>
            </m:lim>
          </m:limLow>
          <m:r>
            <m:t> </m:t>
          </m:r>
          <m:r>
            <m:rPr>
              <m:sty m:val="p"/>
            </m:rPr>
            <m:t>×</m:t>
          </m:r>
          <m:r>
            <m:t> </m:t>
          </m:r>
          <m:limLow>
            <m:e>
              <m:limLow>
                <m:e>
                  <m:sSub>
                    <m:e>
                      <m:r>
                        <m:rPr>
                          <m:nor/>
                          <m:sty m:val="p"/>
                        </m:rPr>
                        <m:t>completion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farm</m:t>
                      </m:r>
                    </m:sub>
                  </m:sSub>
                  <m:r>
                    <m:t> </m:t>
                  </m:r>
                  <m:r>
                    <m:rPr>
                      <m:sty m:val="p"/>
                    </m:rPr>
                    <m:t>×</m:t>
                  </m:r>
                  <m:r>
                    <m:t> 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accumulation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farm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variation, measured from SAR</m:t>
              </m:r>
            </m:lim>
          </m:limLow>
        </m:oMath>
      </m:oMathPara>
    </w:p>
    <w:p>
      <w:pPr>
        <w:pStyle w:val="FirstParagraph"/>
      </w:pPr>
      <w:r>
        <w:t xml:space="preserve">We read the column exactly as the brief defines it —</w:t>
      </w:r>
      <w:r>
        <w:t xml:space="preserve"> </w:t>
      </w:r>
      <w:r>
        <w:rPr>
          <w:i/>
          <w:iCs/>
        </w:rPr>
        <w:t xml:space="preserve">"the estimated yield potential up to the final</w:t>
      </w:r>
      <w:r>
        <w:rPr>
          <w:i/>
          <w:iCs/>
        </w:rPr>
        <w:t xml:space="preserve"> </w:t>
      </w:r>
      <w:r>
        <w:rPr>
          <w:i/>
          <w:iCs/>
        </w:rPr>
        <w:t xml:space="preserve">acquisition date using all available temporal observations"</w:t>
      </w:r>
      <w:r>
        <w:t xml:space="preserve">, and explicitly</w:t>
      </w:r>
      <w:r>
        <w:t xml:space="preserve"> </w:t>
      </w:r>
      <w:r>
        <w:rPr>
          <w:b/>
          <w:bCs/>
        </w:rPr>
        <w:t xml:space="preserve">not a final harvest</w:t>
      </w:r>
      <w:r>
        <w:rPr>
          <w:b/>
          <w:bCs/>
        </w:rPr>
        <w:t xml:space="preserve"> </w:t>
      </w:r>
      <w:r>
        <w:rPr>
          <w:b/>
          <w:bCs/>
        </w:rPr>
        <w:t xml:space="preserve">forecast</w:t>
      </w:r>
      <w:r>
        <w:t xml:space="preserve">. Values are therefore scaled by season completion (Cotton 0.45, Groundnut 0.75,</w:t>
      </w:r>
      <w:r>
        <w:t xml:space="preserve"> </w:t>
      </w:r>
      <w:r>
        <w:t xml:space="preserve">Rice/Maize/Bajra 0.95) and are never projected forward; dividing by that factor recovers a</w:t>
      </w:r>
      <w:r>
        <w:t xml:space="preserve"> </w:t>
      </w:r>
      <w:r>
        <w:t xml:space="preserve">full-season figure. Cotton reads low per hectare (median 0.34 t/ha) because on 13 October it is only</w:t>
      </w:r>
      <w:r>
        <w:t xml:space="preserve"> </w:t>
      </w:r>
      <w:r>
        <w:t xml:space="preserve">about 45% through picking, and because the anchor is lint rather than seed cotton.</w:t>
      </w:r>
    </w:p>
    <w:p>
      <w:pPr>
        <w:pStyle w:val="BodyText"/>
      </w:pPr>
      <w:r>
        <w:t xml:space="preserve">This is the second dasymetric step: 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t xml:space="preserve">is the district anchor and the</w:t>
      </w:r>
      <w:r>
        <w:t xml:space="preserve"> </w:t>
      </w:r>
      <w:r>
        <w:rPr>
          <w:b/>
          <w:bCs/>
        </w:rPr>
        <w:t xml:space="preserve">variation</w:t>
      </w:r>
      <w:r>
        <w:t xml:space="preserve"> </w:t>
      </w:r>
      <w:r>
        <w:t xml:space="preserve">is</w:t>
      </w:r>
      <w:r>
        <w:t xml:space="preserve"> </w:t>
      </w:r>
      <w:r>
        <w:t xml:space="preserve">measured. We state that split rather than blur it — SAR cannot measure absolute yield without</w:t>
      </w:r>
      <w:r>
        <w:t xml:space="preserve"> </w:t>
      </w:r>
      <w:r>
        <w:t xml:space="preserve">calibration data, and pretending otherwise would be the least defensible claim in this project.</w:t>
      </w:r>
      <w:r>
        <w:t xml:space="preserve"> </w:t>
      </w:r>
      <w:r>
        <w:t xml:space="preserve">Both per-farm terms are measured, not assumed: completion from each farm's own August→October</w:t>
      </w:r>
      <w:r>
        <w:t xml:space="preserve"> </w:t>
      </w:r>
      <w:r>
        <w:t xml:space="preserve">change, and accumulation from the season integral, which uses all four acquisitions.</w:t>
      </w:r>
    </w:p>
    <w:p>
      <w:pPr>
        <w:pStyle w:val="BodyText"/>
      </w:pPr>
      <w:r>
        <w:drawing>
          <wp:inline>
            <wp:extent cx="5334000" cy="3763846"/>
            <wp:effectExtent b="0" l="0" r="0" t="0"/>
            <wp:docPr descr="Figure 3" title="" id="32" name="Picture"/>
            <a:graphic>
              <a:graphicData uri="http://schemas.openxmlformats.org/drawingml/2006/picture">
                <pic:pic>
                  <pic:nvPicPr>
                    <pic:cNvPr descr="figures/gallery_02_yield_to_date_ma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3. Farm-level Yield Estimate to Date. Cotton reads pale because on 13 October it is only ~45% through picking; the level is set by crop and the SAR contributes the within-crop spread.</w:t>
      </w:r>
    </w:p>
    <w:bookmarkEnd w:id="34"/>
    <w:bookmarkStart w:id="35" w:name="X35f7692a992cc72c735e910b3fe9f905582f1c0"/>
    <w:p>
      <w:pPr>
        <w:pStyle w:val="Heading2"/>
      </w:pPr>
      <w:r>
        <w:t xml:space="preserve">6. External datasets, and what they were used for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Sentinel-2 L2A</w:t>
            </w:r>
          </w:p>
        </w:tc>
        <w:tc>
          <w:tcPr/>
          <w:p>
            <w:pPr>
              <w:pStyle w:val="Compact"/>
            </w:pPr>
            <w:r>
              <w:t xml:space="preserve">Microsoft Planetary Computer, 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witness only</w:t>
            </w:r>
            <w:r>
              <w:t xml:space="preserve"> </w:t>
            </w:r>
            <w:r>
              <w:t xml:space="preserve">— same-day, 13 Oct, 0.003%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Sentinel-1 RTC</w:t>
            </w:r>
          </w:p>
        </w:tc>
        <w:tc>
          <w:tcPr/>
          <w:p>
            <w:pPr>
              <w:pStyle w:val="Compact"/>
            </w:pPr>
            <w:r>
              <w:t xml:space="preserve">Microsoft Planetary Computer, 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witness only</w:t>
            </w:r>
            <w:r>
              <w:t xml:space="preserve"> </w:t>
            </w:r>
            <w:r>
              <w:t xml:space="preserve">— single date and 10-scene season integral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NASA POWER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rainfall context for the acquisition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Vadodara APY statistics</w:t>
            </w:r>
          </w:p>
        </w:tc>
        <w:tc>
          <w:tcPr/>
          <w:p>
            <w:pPr>
              <w:pStyle w:val="Compact"/>
            </w:pPr>
            <w:r>
              <w:t xml:space="preserve">published government statistics</w:t>
            </w:r>
          </w:p>
        </w:tc>
        <w:tc>
          <w:tcPr/>
          <w:p>
            <w:pPr>
              <w:pStyle w:val="Compact"/>
            </w:pPr>
            <w:r>
              <w:t xml:space="preserve">yield</w:t>
            </w:r>
            <w:r>
              <w:t xml:space="preserve"> </w:t>
            </w:r>
            <w:r>
              <w:rPr>
                <w:b/>
                <w:bCs/>
              </w:rPr>
              <w:t xml:space="preserve">level</w:t>
            </w:r>
            <w:r>
              <w:t xml:space="preserve"> </w:t>
            </w:r>
            <w:r>
              <w:t xml:space="preserve">anchor (an input, and declared as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Gujarat DCS parcel registry</w:t>
            </w:r>
          </w:p>
        </w:tc>
        <w:tc>
          <w:tcPr/>
          <w:p>
            <w:pPr>
              <w:pStyle w:val="Compact"/>
            </w:pPr>
            <w:r>
              <w:t xml:space="preserve">open government WFS</w:t>
            </w:r>
          </w:p>
        </w:tc>
        <w:tc>
          <w:tcPr/>
          <w:p>
            <w:pPr>
              <w:pStyle w:val="Compact"/>
            </w:pPr>
            <w:r>
              <w:t xml:space="preserve">survey numbers for 947/966 farms, for future field validation</w:t>
            </w:r>
          </w:p>
        </w:tc>
      </w:tr>
    </w:tbl>
    <w:p>
      <w:pPr>
        <w:pStyle w:val="BodyText"/>
      </w:pPr>
      <w:r>
        <w:t xml:space="preserve">No paid or restricted dataset was used. Nothing in the first two rows enters</w:t>
      </w:r>
      <w:r>
        <w:t xml:space="preserve"> </w:t>
      </w:r>
      <w:r>
        <w:rPr>
          <w:rStyle w:val="VerbatimChar"/>
        </w:rPr>
        <w:t xml:space="preserve">submission.csv</w:t>
      </w:r>
      <w:r>
        <w:t xml:space="preserve">.</w:t>
      </w:r>
    </w:p>
    <w:bookmarkEnd w:id="35"/>
    <w:bookmarkStart w:id="44" w:name="X05d2dee6e6567628dee9b467f4a3615e80125cc"/>
    <w:p>
      <w:pPr>
        <w:pStyle w:val="Heading2"/>
      </w:pPr>
      <w:r>
        <w:t xml:space="preserve">7. Key findings</w:t>
      </w:r>
    </w:p>
    <w:p>
      <w:pPr>
        <w:pStyle w:val="FirstParagraph"/>
      </w:pPr>
      <w:r>
        <w:rPr>
          <w:b/>
          <w:bCs/>
        </w:rPr>
        <w:t xml:space="preserve">The crop classes separate on two sensors they never saw.</w:t>
      </w:r>
      <w:r>
        <w:t xml:space="preserve"> </w:t>
      </w:r>
      <w:r>
        <w:t xml:space="preserve">Kruskal–Wallis p = 1.8×10⁻³⁴ on</w:t>
      </w:r>
      <w:r>
        <w:t xml:space="preserve"> </w:t>
      </w:r>
      <w:r>
        <w:t xml:space="preserve">Sentinel-2 NDVI and 7.7×10⁻²⁰ on Sentinel-1 VH. The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is the result, not the p-value: on 13</w:t>
      </w:r>
      <w:r>
        <w:t xml:space="preserve"> </w:t>
      </w:r>
      <w:r>
        <w:t xml:space="preserve">October cotton is the only crop still standing and tops both witnesses, while maize is harvested and</w:t>
      </w:r>
      <w:r>
        <w:t xml:space="preserve"> </w:t>
      </w:r>
      <w:r>
        <w:t xml:space="preserve">bottoms both — the crop calendar, recovered independently.</w:t>
      </w:r>
    </w:p>
    <w:p>
      <w:pPr>
        <w:pStyle w:val="BodyText"/>
      </w:pPr>
      <w:r>
        <w:drawing>
          <wp:inline>
            <wp:extent cx="5334000" cy="2743394"/>
            <wp:effectExtent b="0" l="0" r="0" t="0"/>
            <wp:docPr descr="Figure 4" title="" id="37" name="Picture"/>
            <a:graphic>
              <a:graphicData uri="http://schemas.openxmlformats.org/drawingml/2006/picture">
                <pic:pic>
                  <pic:nvPicPr>
                    <pic:cNvPr descr="figures/gallery_07_independent_valid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4. The independent witnesses. Both panels are sensors the pipeline never read: the crop classes separate on Sentinel-2 NDVI and Sentinel-1 VH, and the ordering matches the kharif calendar — cotton still standing on 13 October, maize already harvested.</w:t>
      </w:r>
    </w:p>
    <w:p>
      <w:pPr>
        <w:pStyle w:val="BodyText"/>
      </w:pPr>
      <w:r>
        <w:rPr>
          <w:b/>
          <w:bCs/>
        </w:rPr>
        <w:t xml:space="preserve">Health clusters spatially far beyond chance.</w:t>
      </w:r>
      <w:r>
        <w:t xml:space="preserve"> </w:t>
      </w:r>
      <w:r>
        <w:t xml:space="preserve">Moran's I = 0.105 against a 199-permutation null.</w:t>
      </w:r>
      <w:r>
        <w:t xml:space="preserve"> </w:t>
      </w:r>
      <w:r>
        <w:t xml:space="preserve">Neighbouring fields share soil, water and management; modelling noise would not cluster.</w:t>
      </w:r>
    </w:p>
    <w:p>
      <w:pPr>
        <w:pStyle w:val="BodyText"/>
      </w:pPr>
      <w:r>
        <w:rPr>
          <w:b/>
          <w:bCs/>
        </w:rPr>
        <w:t xml:space="preserve">The yield accumulation term now has a witness of the right shape.</w:t>
      </w:r>
      <w:r>
        <w:t xml:space="preserve"> </w:t>
      </w:r>
      <w:r>
        <w:rPr>
          <w:rStyle w:val="VerbatimChar"/>
        </w:rPr>
        <w:t xml:space="preserve">season_integral</w:t>
      </w:r>
      <w:r>
        <w:t xml:space="preserve"> </w:t>
      </w:r>
      <w:r>
        <w:t xml:space="preserve">spans 12 Jun</w:t>
      </w:r>
      <w:r>
        <w:t xml:space="preserve"> </w:t>
      </w:r>
      <w:r>
        <w:t xml:space="preserve">to 13 Oct, but both original witnesses were single instants. Cumulative NDVI — the textbook fix — is</w:t>
      </w:r>
      <w:r>
        <w:t xml:space="preserve"> </w:t>
      </w:r>
      <w:r>
        <w:t xml:space="preserve">impossible here: Sokhda had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Sentinel-2 scenes under 20% cloud in June, July, August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September. We therefore built a season-integrated witness from the sensor that did observe that</w:t>
      </w:r>
      <w:r>
        <w:t xml:space="preserve"> </w:t>
      </w:r>
      <w:r>
        <w:t xml:space="preserve">period: 10 Sentinel-1 scenes, 12 Jun–10 Oct, all one relative orbit, integrated by the same</w:t>
      </w:r>
      <w:r>
        <w:t xml:space="preserve"> </w:t>
      </w:r>
      <w:r>
        <w:t xml:space="preserve">trapezoid. It corroborates cotton (ρ +0.305, p = 5×10⁻¹⁰) and rice (+0.290, p = 0.007), is null for</w:t>
      </w:r>
      <w:r>
        <w:t xml:space="preserve"> </w:t>
      </w:r>
      <w:r>
        <w:t xml:space="preserve">maize and groundnut, and</w:t>
      </w:r>
      <w:r>
        <w:t xml:space="preserve"> </w:t>
      </w:r>
      <w:r>
        <w:rPr>
          <w:b/>
          <w:bCs/>
        </w:rPr>
        <w:t xml:space="preserve">contradicts bajra</w:t>
      </w:r>
      <w:r>
        <w:t xml:space="preserve"> </w:t>
      </w:r>
      <w:r>
        <w:t xml:space="preserve">(−0.219, p = 0.008).</w:t>
      </w:r>
    </w:p>
    <w:p>
      <w:pPr>
        <w:pStyle w:val="BodyText"/>
      </w:pPr>
      <w:r>
        <w:rPr>
          <w:b/>
          <w:bCs/>
        </w:rPr>
        <w:t xml:space="preserve">Village aggregate.</w:t>
      </w:r>
      <w:r>
        <w:t xml:space="preserve"> </w:t>
      </w:r>
      <w:r>
        <w:t xml:space="preserve">447.5 ha, 595 t accumulated to 13 October. Aggregation is area-weighted,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village production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t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farms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yield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farm</m:t>
                      </m:r>
                    </m:sub>
                  </m:sSub>
                  <m:r>
                    <m:t> 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a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area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farm</m:t>
                      </m:r>
                    </m:sub>
                  </m:sSub>
                  <m:r>
                    <m:t> 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a</m:t>
                      </m:r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never a mean of per-hectare rates.</w:t>
      </w:r>
    </w:p>
    <w:bookmarkStart w:id="42" w:name="what-failed-reported-as-failures"/>
    <w:p>
      <w:pPr>
        <w:pStyle w:val="Heading3"/>
      </w:pPr>
      <w:r>
        <w:t xml:space="preserve">What failed, reported as failures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Per-farm crop labels do not survive an independent rebuild.</w:t>
      </w:r>
      <w:r>
        <w:t xml:space="preserve"> </w:t>
      </w:r>
      <w:r>
        <w:t xml:space="preserve">Against a Sentinel-2 + Sentinel-1</w:t>
      </w:r>
      <w:r>
        <w:t xml:space="preserve"> </w:t>
      </w:r>
      <w:r>
        <w:t xml:space="preserve">map, Cohen's κ = +0.103 — negligible. Cotton is the one class both methods find. The village mix</w:t>
      </w:r>
      <w:r>
        <w:t xml:space="preserve"> </w:t>
      </w:r>
      <w:r>
        <w:t xml:space="preserve">is well constrained; the per-farm label is not, and we say 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Repeat-pass coherence (19 Jun × 14 Aug) sits at the noise floor.</w:t>
      </w:r>
      <w:r>
        <w:t xml:space="preserve"> </w:t>
      </w:r>
      <w:r>
        <w:t xml:space="preserve">The stable-scatterer control</w:t>
      </w:r>
      <w:r>
        <w:t xml:space="preserve"> </w:t>
      </w:r>
      <w:r>
        <w:t xml:space="preserve">failed to clear its own bias floor, so we cannot separate true decorrelation from our own</w:t>
      </w:r>
      <w:r>
        <w:t xml:space="preserve"> </w:t>
      </w:r>
      <w:r>
        <w:t xml:space="preserve">limitation, and claim neither.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sign error in the completion term, caught by a witness.</w:t>
      </w:r>
      <w:r>
        <w:t xml:space="preserve"> </w:t>
      </w:r>
      <w:r>
        <w:t xml:space="preserve">We had assumed a harvested field</w:t>
      </w:r>
      <w:r>
        <w:t xml:space="preserve"> </w:t>
      </w:r>
      <w:r>
        <w:t xml:space="preserve">brightens toward bare soil. Sentinel-2 disagreed in all five crops, so the term was reading</w:t>
      </w:r>
      <w:r>
        <w:t xml:space="preserve"> </w:t>
      </w:r>
      <w:r>
        <w:t xml:space="preserve">standing crop as senescence. The sign was corrected and the shipped column changed.</w:t>
      </w:r>
    </w:p>
    <w:p>
      <w:pPr>
        <w:pStyle w:val="FirstParagraph"/>
      </w:pPr>
      <w:r>
        <w:drawing>
          <wp:inline>
            <wp:extent cx="5334000" cy="2625207"/>
            <wp:effectExtent b="0" l="0" r="0" t="0"/>
            <wp:docPr descr="Figure 5" title="" id="40" name="Picture"/>
            <a:graphic>
              <a:graphicData uri="http://schemas.openxmlformats.org/drawingml/2006/picture">
                <pic:pic>
                  <pic:nvPicPr>
                    <pic:cNvPr descr="figures/gallery_10_negativ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5. Two results we report as failures: repeat-pass coherence does not clear its own control floor, and the uniformity-health relationship holds on the date that feeds the index but fails on an independent date.</w:t>
      </w:r>
    </w:p>
    <w:bookmarkEnd w:id="42"/>
    <w:bookmarkStart w:id="43" w:name="what-the-negatives-imply-for-use"/>
    <w:p>
      <w:pPr>
        <w:pStyle w:val="Heading3"/>
      </w:pPr>
      <w:r>
        <w:t xml:space="preserve">What the negatives imply for use</w:t>
      </w:r>
    </w:p>
    <w:p>
      <w:pPr>
        <w:pStyle w:val="FirstParagraph"/>
      </w:pPr>
      <w:r>
        <w:t xml:space="preserve">The three failures above are not symmetric in consequence, so we state what each one licenses. The</w:t>
      </w:r>
      <w:r>
        <w:t xml:space="preserve"> </w:t>
      </w:r>
      <w:r>
        <w:t xml:space="preserve">κ result means this product should be read at</w:t>
      </w:r>
      <w:r>
        <w:t xml:space="preserve"> </w:t>
      </w:r>
      <w:r>
        <w:rPr>
          <w:b/>
          <w:bCs/>
        </w:rPr>
        <w:t xml:space="preserve">village and crop-group level</w:t>
      </w:r>
      <w:r>
        <w:t xml:space="preserve">, which is the level</w:t>
      </w:r>
      <w:r>
        <w:t xml:space="preserve"> </w:t>
      </w:r>
      <w:r>
        <w:t xml:space="preserve">the aggregation table reports and the level Round 1 was scored at; a single farm's label should not</w:t>
      </w:r>
      <w:r>
        <w:t xml:space="preserve"> </w:t>
      </w:r>
      <w:r>
        <w:t xml:space="preserve">be acted on alone. The coherence result costs us nothing shipped — no submitted column depends on</w:t>
      </w:r>
      <w:r>
        <w:t xml:space="preserve"> </w:t>
      </w:r>
      <w:r>
        <w:t xml:space="preserve">it — but it does close off change detection as a route we could have claimed. The bajra</w:t>
      </w:r>
      <w:r>
        <w:t xml:space="preserve"> </w:t>
      </w:r>
      <w:r>
        <w:t xml:space="preserve">contradiction is the one that would change a decision: bajra is 15% of the parcels and its</w:t>
      </w:r>
      <w:r>
        <w:t xml:space="preserve"> </w:t>
      </w:r>
      <w:r>
        <w:t xml:space="preserve">season-integral term runs against the witness, so its yield column carries the weakest support of</w:t>
      </w:r>
      <w:r>
        <w:t xml:space="preserve"> </w:t>
      </w:r>
      <w:r>
        <w:t xml:space="preserve">the five crops. We leave the value in rather than tune it, and flag it here, because the constraint</w:t>
      </w:r>
      <w:r>
        <w:t xml:space="preserve"> </w:t>
      </w:r>
      <w:r>
        <w:t xml:space="preserve">that produced it — the Round 1 area shares — is exact truth we are not entitled to overwrite with a</w:t>
      </w:r>
      <w:r>
        <w:t xml:space="preserve"> </w:t>
      </w:r>
      <w:r>
        <w:t xml:space="preserve">correction fitted to one witness.</w:t>
      </w:r>
    </w:p>
    <w:bookmarkEnd w:id="43"/>
    <w:bookmarkEnd w:id="44"/>
    <w:bookmarkStart w:id="45" w:name="Xa3c3039e1b4515b4f0e7ed5d8da9529a47e6ca7"/>
    <w:p>
      <w:pPr>
        <w:pStyle w:val="Heading2"/>
      </w:pPr>
      <w:r>
        <w:t xml:space="preserve">8. Reproducibility</w:t>
      </w:r>
    </w:p>
    <w:p>
      <w:pPr>
        <w:pStyle w:val="FirstParagraph"/>
      </w:pPr>
      <w:r>
        <w:rPr>
          <w:rStyle w:val="VerbatimChar"/>
        </w:rPr>
        <w:t xml:space="preserve">notebooks/I9_pipeline.ipynb</w:t>
      </w:r>
      <w:r>
        <w:t xml:space="preserve"> </w:t>
      </w:r>
      <w:r>
        <w:t xml:space="preserve">runs from a fresh kernel and its final cell</w:t>
      </w:r>
      <w:r>
        <w:t xml:space="preserve"> </w:t>
      </w:r>
      <w:r>
        <w:rPr>
          <w:b/>
          <w:bCs/>
        </w:rPr>
        <w:t xml:space="preserve">asserts</w:t>
      </w:r>
      <w:r>
        <w:t xml:space="preserve"> </w:t>
      </w:r>
      <w:r>
        <w:t xml:space="preserve">that it</w:t>
      </w:r>
      <w:r>
        <w:t xml:space="preserve"> </w:t>
      </w:r>
      <w:r>
        <w:t xml:space="preserve">reproduces the shipped</w:t>
      </w:r>
      <w:r>
        <w:t xml:space="preserve"> </w:t>
      </w:r>
      <w:r>
        <w:rPr>
          <w:rStyle w:val="VerbatimChar"/>
        </w:rPr>
        <w:t xml:space="preserve">submission.csv</w:t>
      </w:r>
      <w:r>
        <w:t xml:space="preserve"> </w:t>
      </w:r>
      <w:r>
        <w:t xml:space="preserve">exactly. A 19-check ship gate verifies schema, value ranges,</w:t>
      </w:r>
      <w:r>
        <w:t xml:space="preserve"> </w:t>
      </w:r>
      <w:r>
        <w:t xml:space="preserve">units and deliverables, and a separate gate asserts that every number quoted in this report matches</w:t>
      </w:r>
      <w:r>
        <w:t xml:space="preserve"> </w:t>
      </w:r>
      <w:r>
        <w:t xml:space="preserve">the shipped artefacts, so the prose cannot drift from the data.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AISEHack 2.0 Round 2 — Methodology Report — Team GDHTM</dc:title>
  <dc:creator/>
  <cp:keywords/>
  <dcterms:created xsi:type="dcterms:W3CDTF">2026-08-12T13:56:30Z</dcterms:created>
  <dcterms:modified xsi:type="dcterms:W3CDTF">2026-08-12T13:56:30Z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