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before="0"/>
        <w:jc w:val="center"/>
      </w:pPr>
      <w:r>
        <w:rPr>
          <w:rFonts w:ascii="Arial" w:cs="Arial" w:eastAsia="Arial" w:hAnsi="Arial"/>
          <w:b/>
          <w:bCs/>
          <w:color w:val="595959"/>
          <w:sz w:val="24"/>
          <w:szCs w:val="24"/>
        </w:rPr>
        <w:t xml:space="preserve">▮ WhaleAX Financial Consulting Services Pvt Ltd</w:t>
      </w:r>
    </w:p>
    <w:p>
      <w:pPr>
        <w:spacing w:after="120" w:before="480"/>
        <w:jc w:val="center"/>
      </w:pPr>
      <w:r>
        <w:rPr>
          <w:rFonts w:ascii="Arial" w:cs="Arial" w:eastAsia="Arial" w:hAnsi="Arial"/>
          <w:b/>
          <w:bCs/>
          <w:color w:val="1B3A6B"/>
          <w:sz w:val="52"/>
          <w:szCs w:val="52"/>
        </w:rPr>
        <w:t xml:space="preserve">Executive Summary Report</w:t>
      </w:r>
    </w:p>
    <w:p>
      <w:pPr>
        <w:spacing w:after="480" w:before="120"/>
        <w:jc w:val="center"/>
      </w:pPr>
      <w:r>
        <w:rPr>
          <w:rFonts w:ascii="Arial" w:cs="Arial" w:eastAsia="Arial" w:hAnsi="Arial"/>
          <w:b w:val="false"/>
          <w:bCs w:val="false"/>
          <w:color w:val="595959"/>
          <w:sz w:val="28"/>
          <w:szCs w:val="28"/>
        </w:rPr>
        <w:t xml:space="preserve">PCI DSS v4.0 Gap Assessment Findings</w:t>
      </w:r>
    </w:p>
    <w:p>
      <w:pPr>
        <w:spacing w:after="60" w:before="240"/>
        <w:jc w:val="center"/>
      </w:pPr>
      <w:r>
        <w:rPr>
          <w:rFonts w:ascii="Arial" w:cs="Arial" w:eastAsia="Arial" w:hAnsi="Arial"/>
          <w:b/>
          <w:bCs/>
          <w:color w:val="2E75B6"/>
          <w:sz w:val="24"/>
          <w:szCs w:val="24"/>
        </w:rPr>
        <w:t xml:space="preserve">PCI DSS v4.0 Gap Assessment Engagement</w:t>
      </w:r>
    </w:p>
    <w:p>
      <w:pPr>
        <w:spacing w:after="60" w:before="4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Classification:</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C00000"/>
                <w:sz w:val="20"/>
                <w:szCs w:val="20"/>
              </w:rPr>
              <w:t xml:space="preserve">CONFIDENTIAL – MANAGEMENT USE ONLY</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Document Version:</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v1.0 – FINAL</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Assessment Date:</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June 23, 2025</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Prepared By:</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PCI DSS Assessment &amp; Assurance Practice</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595959"/>
                <w:sz w:val="20"/>
                <w:szCs w:val="20"/>
              </w:rPr>
              <w:t xml:space="preserve">Engagement Reference:</w:t>
            </w:r>
          </w:p>
        </w:tc>
        <w:tc>
          <w:tcPr>
            <w:tcW w:type="dxa" w:w="4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WAX-PCI-2025-001</w:t>
            </w:r>
          </w:p>
        </w:tc>
      </w:tr>
    </w:tbl>
    <w:p>
      <w:r>
        <w:br w:type="page"/>
      </w:r>
    </w:p>
    <w:p>
      <w:pPr>
        <w:pStyle w:val="Heading1"/>
        <w:pBdr>
          <w:bottom w:val="single" w:color="2E75B6" w:sz="6" w:space="4"/>
        </w:pBdr>
        <w:spacing w:after="120" w:before="360"/>
      </w:pPr>
      <w:r>
        <w:rPr>
          <w:rFonts w:ascii="Arial" w:cs="Arial" w:eastAsia="Arial" w:hAnsi="Arial"/>
          <w:b/>
          <w:bCs/>
          <w:color w:val="1B3A6B"/>
          <w:sz w:val="36"/>
          <w:szCs w:val="36"/>
        </w:rPr>
        <w:t xml:space="preserve">Executive Summary</w:t>
      </w:r>
    </w:p>
    <w:p>
      <w:pPr>
        <w:spacing w:after="60" w:before="60"/>
      </w:pPr>
      <w:r>
        <w:rPr>
          <w:rFonts w:ascii="Arial" w:cs="Arial" w:eastAsia="Arial" w:hAnsi="Arial"/>
          <w:b w:val="false"/>
          <w:bCs w:val="false"/>
          <w:i w:val="false"/>
          <w:iCs w:val="false"/>
          <w:color w:val="1A1A1A"/>
          <w:sz w:val="22"/>
          <w:szCs w:val="22"/>
        </w:rPr>
        <w:t xml:space="preserve">This Executive Summary presents the key findings, compliance posture, and risk profile of WhaleAX Financial Consulting Services Pvt Ltd ("WhaleAX") resulting from the PCI DSS v4.0 Gap Assessment conducted between April 14, 2025 and June 20, 2025 under Engagement Reference WAX-PCI-2025-001.</w:t>
      </w:r>
    </w:p>
    <w:p>
      <w:pPr>
        <w:spacing w:after="60" w:before="60"/>
      </w:pPr>
      <w:r>
        <w:t xml:space="preserve"/>
      </w:r>
    </w:p>
    <w:p>
      <w:pPr>
        <w:spacing w:after="60" w:before="60"/>
      </w:pPr>
      <w:r>
        <w:rPr>
          <w:rFonts w:ascii="Arial" w:cs="Arial" w:eastAsia="Arial" w:hAnsi="Arial"/>
          <w:b w:val="false"/>
          <w:bCs w:val="false"/>
          <w:i w:val="false"/>
          <w:iCs w:val="false"/>
          <w:color w:val="1A1A1A"/>
          <w:sz w:val="22"/>
          <w:szCs w:val="22"/>
        </w:rPr>
        <w:t xml:space="preserve">The assessment covered all 12 PCI DSS v4.0 Requirements across WhaleAX's AWS-hosted production environment, including application servers, transaction databases, firewall infrastructure, SIEM, identity and access management controls, and analyst workstations. A total of 251 individual controls were evaluated across 12 requirements.</w:t>
      </w:r>
    </w:p>
    <w:p>
      <w:pPr>
        <w:spacing w:after="120" w:before="120"/>
      </w:pPr>
      <w:r>
        <w:t xml:space="preserve"/>
      </w:r>
    </w:p>
    <w:p>
      <w:pPr>
        <w:pStyle w:val="Heading2"/>
        <w:spacing w:after="80" w:before="240"/>
      </w:pPr>
      <w:r>
        <w:rPr>
          <w:rFonts w:ascii="Arial" w:cs="Arial" w:eastAsia="Arial" w:hAnsi="Arial"/>
          <w:b/>
          <w:bCs/>
          <w:color w:val="2E75B6"/>
          <w:sz w:val="28"/>
          <w:szCs w:val="28"/>
        </w:rPr>
        <w:t xml:space="preserve">Overall Compliance Posture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Assessment Dimension</w:t>
            </w:r>
          </w:p>
        </w:tc>
        <w:tc>
          <w:tcPr>
            <w:tcW w:type="dxa" w:w="1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Compliant</w:t>
            </w:r>
          </w:p>
        </w:tc>
        <w:tc>
          <w:tcPr>
            <w:tcW w:type="dxa" w:w="1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Partial</w:t>
            </w:r>
          </w:p>
        </w:tc>
        <w:tc>
          <w:tcPr>
            <w:tcW w:type="dxa" w:w="1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Non-Compliant</w:t>
            </w:r>
          </w:p>
        </w:tc>
        <w:tc>
          <w:tcPr>
            <w:tcW w:type="dxa" w:w="15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N/A</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Total Controls Assessed (251)</w:t>
            </w:r>
          </w:p>
        </w:tc>
        <w:tc>
          <w:tcPr>
            <w:tcW w:type="dxa" w:w="15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112 (45%)</w:t>
            </w:r>
          </w:p>
        </w:tc>
        <w:tc>
          <w:tcPr>
            <w:tcW w:type="dxa" w:w="15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CC5500"/>
                <w:sz w:val="20"/>
                <w:szCs w:val="20"/>
              </w:rPr>
              <w:t xml:space="preserve">68 (27%)</w:t>
            </w:r>
          </w:p>
        </w:tc>
        <w:tc>
          <w:tcPr>
            <w:tcW w:type="dxa" w:w="15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54 (21%)</w:t>
            </w:r>
          </w:p>
        </w:tc>
        <w:tc>
          <w:tcPr>
            <w:tcW w:type="dxa" w:w="15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17 (7%)</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Requirement 1 – Network Security Controls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Requirement 2 – Secure Configurations</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Requirement 3 – CHD Protection</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Requirement 4 – Encryption in Transit</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Requirement 5 – Malware Protection</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Requirement 6 – Secure Development</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Requirement 7 – Access Control</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Requirement 8 – Authentication</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Requirement 9 – Physical Access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Requirement 10 – Logging &amp; Monitoring</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Requirement 11 – Security Testing</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Requirement 12 – Information Security Policy</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w:t>
            </w:r>
          </w:p>
        </w:tc>
      </w:tr>
    </w:tbl>
    <w:p>
      <w:pPr>
        <w:spacing w:after="120" w:before="120"/>
      </w:pPr>
      <w:r>
        <w:t xml:space="preserve"/>
      </w:r>
    </w:p>
    <w:p>
      <w:pPr>
        <w:pStyle w:val="Heading2"/>
        <w:spacing w:after="80" w:before="240"/>
      </w:pPr>
      <w:r>
        <w:rPr>
          <w:rFonts w:ascii="Arial" w:cs="Arial" w:eastAsia="Arial" w:hAnsi="Arial"/>
          <w:b/>
          <w:bCs/>
          <w:color w:val="2E75B6"/>
          <w:sz w:val="28"/>
          <w:szCs w:val="28"/>
        </w:rPr>
        <w:t xml:space="preserve">Critical and High-Risk Findings Summary</w:t>
      </w:r>
    </w:p>
    <w:p>
      <w:pPr>
        <w:spacing w:after="60" w:before="60"/>
      </w:pPr>
      <w:r>
        <w:rPr>
          <w:rFonts w:ascii="Arial" w:cs="Arial" w:eastAsia="Arial" w:hAnsi="Arial"/>
          <w:b w:val="false"/>
          <w:bCs w:val="false"/>
          <w:i w:val="false"/>
          <w:iCs w:val="false"/>
          <w:color w:val="1A1A1A"/>
          <w:sz w:val="22"/>
          <w:szCs w:val="22"/>
        </w:rPr>
        <w:t xml:space="preserve">The assessment identified 27 findings across all risk levels. The distribution and summary of the most significant findings is presented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744"/>
        <w:gridCol w:w="1872"/>
        <w:gridCol w:w="1404"/>
        <w:gridCol w:w="1404"/>
      </w:tblGrid>
      <w:tr>
        <w:tc>
          <w:tcPr>
            <w:tcW w:type="dxa" w:w="936"/>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ID</w:t>
            </w:r>
          </w:p>
        </w:tc>
        <w:tc>
          <w:tcPr>
            <w:tcW w:type="dxa" w:w="3744"/>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Finding Title</w:t>
            </w:r>
          </w:p>
        </w:tc>
        <w:tc>
          <w:tcPr>
            <w:tcW w:type="dxa" w:w="1872"/>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PCI DSS Req.</w:t>
            </w:r>
          </w:p>
        </w:tc>
        <w:tc>
          <w:tcPr>
            <w:tcW w:type="dxa" w:w="1404"/>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Risk Rating</w:t>
            </w:r>
          </w:p>
        </w:tc>
        <w:tc>
          <w:tcPr>
            <w:tcW w:type="dxa" w:w="1404"/>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r>
      <w:tr>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F-001</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Critical Patch Remediation SLA Breach – Production Systems</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6.3.3</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Critical</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F-002</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Firewall Rule Review Evidence Incomplete – Quarterly Cycle Missing</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1.3.2</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Critical</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r>
      <w:tr>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F-003</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Excessive Privileged Access – Analyst Role Over-Permission</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7.2.1</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Critical</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F-004</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Missing Network Segmentation Validation – CDE Isolation Unverified</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1.4.2</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r>
      <w:tr>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F-005</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Inconsistent Log Review Procedures – No Formal Daily Review</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10.4.1</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F-006</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Weak Service Account Governance – Shared Credentials Identified</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8.2.2</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r>
      <w:tr>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F-007</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Incomplete Vulnerability Remediation Tracking – No Ageing Report</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11.3.1</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F-008</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Incomplete Secure Configuration Baselines – CIS Benchmarks Not Applied</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2.2.1</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r>
      <w:tr>
        <w:tc>
          <w:tcPr>
            <w:tcW w:type="dxa" w:w="93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F-009</w:t>
            </w:r>
          </w:p>
        </w:tc>
        <w:tc>
          <w:tcPr>
            <w:tcW w:type="dxa" w:w="374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Insufficient Evidence Retention – Logs Purged Before 12-Month Requirement</w:t>
            </w:r>
          </w:p>
        </w:tc>
        <w:tc>
          <w:tcPr>
            <w:tcW w:type="dxa" w:w="187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10.5.1</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F-010</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Third-Party Risk Assessment Gaps – No Formal TPRM Program</w:t>
            </w:r>
          </w:p>
        </w:tc>
        <w:tc>
          <w:tcPr>
            <w:tcW w:type="dxa" w:w="187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Req 12.8.3</w:t>
            </w:r>
          </w:p>
        </w:tc>
        <w:tc>
          <w:tcPr>
            <w:tcW w:type="dxa" w:w="117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center"/>
          </w:tcPr>
          <w:p>
            <w:pPr>
              <w:jc w:val="center"/>
            </w:pPr>
            <w:r>
              <w:rPr>
                <w:rFonts w:ascii="Arial" w:cs="Arial" w:eastAsia="Arial" w:hAnsi="Arial"/>
                <w:b/>
                <w:bCs/>
                <w:color w:val="CC5500"/>
                <w:sz w:val="18"/>
                <w:szCs w:val="18"/>
              </w:rPr>
              <w:t xml:space="preserve">High</w:t>
            </w:r>
          </w:p>
        </w:tc>
        <w:tc>
          <w:tcPr>
            <w:tcW w:type="dxa" w:w="117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Non-Compliant</w:t>
            </w:r>
          </w:p>
        </w:tc>
      </w:tr>
    </w:tbl>
    <w:p>
      <w:pPr>
        <w:spacing w:after="120" w:before="120"/>
      </w:pPr>
      <w:r>
        <w:t xml:space="preserve"/>
      </w:r>
    </w:p>
    <w:p>
      <w:pPr>
        <w:pStyle w:val="Heading2"/>
        <w:spacing w:after="80" w:before="240"/>
      </w:pPr>
      <w:r>
        <w:rPr>
          <w:rFonts w:ascii="Arial" w:cs="Arial" w:eastAsia="Arial" w:hAnsi="Arial"/>
          <w:b/>
          <w:bCs/>
          <w:color w:val="2E75B6"/>
          <w:sz w:val="28"/>
          <w:szCs w:val="28"/>
        </w:rPr>
        <w:t xml:space="preserve">Key Risk Areas</w:t>
      </w:r>
    </w:p>
    <w:p>
      <w:pPr>
        <w:spacing w:after="60" w:before="180"/>
      </w:pPr>
      <w:r>
        <w:rPr>
          <w:rFonts w:ascii="Arial" w:cs="Arial" w:eastAsia="Arial" w:hAnsi="Arial"/>
          <w:b/>
          <w:bCs/>
          <w:color w:val="1B3A6B"/>
          <w:sz w:val="24"/>
          <w:szCs w:val="24"/>
        </w:rPr>
        <w:t xml:space="preserve">1. Patch Management – CRITICAL</w:t>
      </w:r>
    </w:p>
    <w:p>
      <w:pPr>
        <w:spacing w:after="60" w:before="60"/>
      </w:pPr>
      <w:r>
        <w:rPr>
          <w:rFonts w:ascii="Arial" w:cs="Arial" w:eastAsia="Arial" w:hAnsi="Arial"/>
          <w:b w:val="false"/>
          <w:bCs w:val="false"/>
          <w:i w:val="false"/>
          <w:iCs w:val="false"/>
          <w:color w:val="1A1A1A"/>
          <w:sz w:val="22"/>
          <w:szCs w:val="22"/>
        </w:rPr>
        <w:t xml:space="preserve">WhaleAX's production application servers (WAX-APP-01, WAX-APP-02) have 3 critical-severity CVEs unpatched beyond the 30-day SLA defined in PCI DSS Requirement 6.3.3. The oldest unpatched vulnerability (CVE-2024-21413) is 97 days overdue. This represents the highest-risk finding in the engagement and requires immediate remediation.</w:t>
      </w:r>
    </w:p>
    <w:p>
      <w:pPr>
        <w:spacing w:after="60" w:before="60"/>
      </w:pPr>
      <w:r>
        <w:t xml:space="preserve"/>
      </w:r>
    </w:p>
    <w:p>
      <w:pPr>
        <w:spacing w:after="60" w:before="180"/>
      </w:pPr>
      <w:r>
        <w:rPr>
          <w:rFonts w:ascii="Arial" w:cs="Arial" w:eastAsia="Arial" w:hAnsi="Arial"/>
          <w:b/>
          <w:bCs/>
          <w:color w:val="1B3A6B"/>
          <w:sz w:val="24"/>
          <w:szCs w:val="24"/>
        </w:rPr>
        <w:t xml:space="preserve">2. Access Control – CRITICAL</w:t>
      </w:r>
    </w:p>
    <w:p>
      <w:pPr>
        <w:spacing w:after="60" w:before="60"/>
      </w:pPr>
      <w:r>
        <w:rPr>
          <w:rFonts w:ascii="Arial" w:cs="Arial" w:eastAsia="Arial" w:hAnsi="Arial"/>
          <w:b w:val="false"/>
          <w:bCs w:val="false"/>
          <w:i w:val="false"/>
          <w:iCs w:val="false"/>
          <w:color w:val="1A1A1A"/>
          <w:sz w:val="22"/>
          <w:szCs w:val="22"/>
        </w:rPr>
        <w:t xml:space="preserve">Role-based access control (RBAC) reviews identified that 14 of 25 analyst accounts have read/write permissions to production database tables beyond their operational requirements. Three service accounts were found sharing credentials, violating PCI DSS Requirement 8.2.2. No formal access recertification program is in place.</w:t>
      </w:r>
    </w:p>
    <w:p>
      <w:pPr>
        <w:spacing w:after="60" w:before="60"/>
      </w:pPr>
      <w:r>
        <w:t xml:space="preserve"/>
      </w:r>
    </w:p>
    <w:p>
      <w:pPr>
        <w:spacing w:after="60" w:before="180"/>
      </w:pPr>
      <w:r>
        <w:rPr>
          <w:rFonts w:ascii="Arial" w:cs="Arial" w:eastAsia="Arial" w:hAnsi="Arial"/>
          <w:b/>
          <w:bCs/>
          <w:color w:val="1B3A6B"/>
          <w:sz w:val="24"/>
          <w:szCs w:val="24"/>
        </w:rPr>
        <w:t xml:space="preserve">3. Firewall &amp; Segmentation – HIGH</w:t>
      </w:r>
    </w:p>
    <w:p>
      <w:pPr>
        <w:spacing w:after="60" w:before="60"/>
      </w:pPr>
      <w:r>
        <w:rPr>
          <w:rFonts w:ascii="Arial" w:cs="Arial" w:eastAsia="Arial" w:hAnsi="Arial"/>
          <w:b w:val="false"/>
          <w:bCs w:val="false"/>
          <w:i w:val="false"/>
          <w:iCs w:val="false"/>
          <w:color w:val="1A1A1A"/>
          <w:sz w:val="22"/>
          <w:szCs w:val="22"/>
        </w:rPr>
        <w:t xml:space="preserve">Quarterly firewall rule review documentation is incomplete for Q4 2024 and Q1 2025. Evidence of network segmentation validation between the CDE and non-CDE segments has not been formally tested or documented within the past 12 months, creating uncertainty around the scope boundary's integrity.</w:t>
      </w:r>
    </w:p>
    <w:p>
      <w:pPr>
        <w:spacing w:after="60" w:before="60"/>
      </w:pPr>
      <w:r>
        <w:t xml:space="preserve"/>
      </w:r>
    </w:p>
    <w:p>
      <w:pPr>
        <w:spacing w:after="60" w:before="180"/>
      </w:pPr>
      <w:r>
        <w:rPr>
          <w:rFonts w:ascii="Arial" w:cs="Arial" w:eastAsia="Arial" w:hAnsi="Arial"/>
          <w:b/>
          <w:bCs/>
          <w:color w:val="1B3A6B"/>
          <w:sz w:val="24"/>
          <w:szCs w:val="24"/>
        </w:rPr>
        <w:t xml:space="preserve">4. Logging &amp; Monitoring – HIGH</w:t>
      </w:r>
    </w:p>
    <w:p>
      <w:pPr>
        <w:spacing w:after="60" w:before="60"/>
      </w:pPr>
      <w:r>
        <w:rPr>
          <w:rFonts w:ascii="Arial" w:cs="Arial" w:eastAsia="Arial" w:hAnsi="Arial"/>
          <w:b w:val="false"/>
          <w:bCs w:val="false"/>
          <w:i w:val="false"/>
          <w:iCs w:val="false"/>
          <w:color w:val="1A1A1A"/>
          <w:sz w:val="22"/>
          <w:szCs w:val="22"/>
        </w:rPr>
        <w:t xml:space="preserve">While WhaleAX has deployed a SIEM platform (Splunk on WAX-SIEM-01), log review procedures lack formal documentation. Log retention is configured at 9 months on the SIEM, falling short of the 12-month minimum required by PCI DSS 10.5.1. Daily log review is not consistently evidenced or documented.</w:t>
      </w:r>
    </w:p>
    <w:p>
      <w:pPr>
        <w:spacing w:after="120" w:before="120"/>
      </w:pPr>
      <w:r>
        <w:t xml:space="preserve"/>
      </w:r>
    </w:p>
    <w:p>
      <w:pPr>
        <w:pStyle w:val="Heading2"/>
        <w:spacing w:after="80" w:before="240"/>
      </w:pPr>
      <w:r>
        <w:rPr>
          <w:rFonts w:ascii="Arial" w:cs="Arial" w:eastAsia="Arial" w:hAnsi="Arial"/>
          <w:b/>
          <w:bCs/>
          <w:color w:val="2E75B6"/>
          <w:sz w:val="28"/>
          <w:szCs w:val="28"/>
        </w:rPr>
        <w:t xml:space="preserve">Management Recommendations</w:t>
      </w:r>
    </w:p>
    <w:p>
      <w:pPr>
        <w:spacing w:after="60" w:before="60"/>
      </w:pPr>
      <w:r>
        <w:rPr>
          <w:rFonts w:ascii="Arial" w:cs="Arial" w:eastAsia="Arial" w:hAnsi="Arial"/>
          <w:b w:val="false"/>
          <w:bCs w:val="false"/>
          <w:i w:val="false"/>
          <w:iCs w:val="false"/>
          <w:color w:val="1A1A1A"/>
          <w:sz w:val="22"/>
          <w:szCs w:val="22"/>
        </w:rPr>
        <w:t xml:space="preserve">Based on the assessment findings, the following priority actions are recommended for the WhaleAX leadership team: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Immediate (0–30 days): Remediate all Critical-rated CVEs on WAX-APP-01 and WAX-APP-02. Review and revoke excessive analyst access privileges. Initiate formal firewall rule review for Q1 and Q2 2025.</w:t>
      </w:r>
    </w:p>
    <w:p>
      <w:pPr>
        <w:pStyle w:val="ListParagraph"/>
        <w:numPr>
          <w:ilvl w:val="0"/>
          <w:numId w:val="2"/>
        </w:numPr>
        <w:spacing w:after="40" w:before="40"/>
      </w:pPr>
      <w:r>
        <w:rPr>
          <w:rFonts w:ascii="Arial" w:cs="Arial" w:eastAsia="Arial" w:hAnsi="Arial"/>
          <w:sz w:val="22"/>
          <w:szCs w:val="22"/>
        </w:rPr>
        <w:t xml:space="preserve">Short-term (31–90 days): Implement formal log retention policy aligned to 12-month requirement. Establish access recertification program (quarterly cycle). Eliminate all shared service account credentials.</w:t>
      </w:r>
    </w:p>
    <w:p>
      <w:pPr>
        <w:pStyle w:val="ListParagraph"/>
        <w:numPr>
          <w:ilvl w:val="0"/>
          <w:numId w:val="2"/>
        </w:numPr>
        <w:spacing w:after="40" w:before="40"/>
      </w:pPr>
      <w:r>
        <w:rPr>
          <w:rFonts w:ascii="Arial" w:cs="Arial" w:eastAsia="Arial" w:hAnsi="Arial"/>
          <w:sz w:val="22"/>
          <w:szCs w:val="22"/>
        </w:rPr>
        <w:t xml:space="preserve">Medium-term (91–180 days): Deploy CIS Benchmark hardening across all CDE system components. Conduct formal network segmentation penetration test. Establish third-party risk management program with formal vendor assessment questionnaires.</w:t>
      </w:r>
    </w:p>
    <w:p>
      <w:pPr>
        <w:pStyle w:val="ListParagraph"/>
        <w:numPr>
          <w:ilvl w:val="0"/>
          <w:numId w:val="2"/>
        </w:numPr>
        <w:spacing w:after="40" w:before="40"/>
      </w:pPr>
      <w:r>
        <w:rPr>
          <w:rFonts w:ascii="Arial" w:cs="Arial" w:eastAsia="Arial" w:hAnsi="Arial"/>
          <w:sz w:val="22"/>
          <w:szCs w:val="22"/>
        </w:rPr>
        <w:t xml:space="preserve">Long-term (181–365 days): Achieve full PCI DSS v4.0 compliance posture and engage QSA for formal ROC assessment. Implement continuous compliance monitoring capabilities.</w:t>
      </w:r>
    </w:p>
    <w:p>
      <w:pPr>
        <w:spacing w:after="120" w:before="120"/>
      </w:pPr>
      <w:r>
        <w:t xml:space="preserve"/>
      </w:r>
    </w:p>
    <w:p>
      <w:pPr>
        <w:pStyle w:val="Heading2"/>
        <w:spacing w:after="80" w:before="240"/>
      </w:pPr>
      <w:r>
        <w:rPr>
          <w:rFonts w:ascii="Arial" w:cs="Arial" w:eastAsia="Arial" w:hAnsi="Arial"/>
          <w:b/>
          <w:bCs/>
          <w:color w:val="2E75B6"/>
          <w:sz w:val="28"/>
          <w:szCs w:val="28"/>
        </w:rPr>
        <w:t xml:space="preserve">Engagement Conclusion</w:t>
      </w:r>
    </w:p>
    <w:p>
      <w:pPr>
        <w:spacing w:after="60" w:before="60"/>
      </w:pPr>
      <w:r>
        <w:rPr>
          <w:rFonts w:ascii="Arial" w:cs="Arial" w:eastAsia="Arial" w:hAnsi="Arial"/>
          <w:b w:val="false"/>
          <w:bCs w:val="false"/>
          <w:i w:val="false"/>
          <w:iCs w:val="false"/>
          <w:color w:val="1A1A1A"/>
          <w:sz w:val="22"/>
          <w:szCs w:val="22"/>
        </w:rPr>
        <w:t xml:space="preserve">WhaleAX Financial Consulting Services Pvt Ltd demonstrates a foundational understanding of PCI DSS requirements and has deployed several key controls across its AWS environment. However, significant gaps remain in patch management, access governance, segmentation validation, and evidence management that must be addressed before a formal compliance certification can be pursued.</w:t>
      </w:r>
    </w:p>
    <w:p>
      <w:pPr>
        <w:spacing w:after="60" w:before="60"/>
      </w:pPr>
      <w:r>
        <w:t xml:space="preserve"/>
      </w:r>
    </w:p>
    <w:p>
      <w:pPr>
        <w:spacing w:after="60" w:before="60"/>
      </w:pPr>
      <w:r>
        <w:rPr>
          <w:rFonts w:ascii="Arial" w:cs="Arial" w:eastAsia="Arial" w:hAnsi="Arial"/>
          <w:b w:val="false"/>
          <w:bCs w:val="false"/>
          <w:i w:val="false"/>
          <w:iCs w:val="false"/>
          <w:color w:val="1A1A1A"/>
          <w:sz w:val="22"/>
          <w:szCs w:val="22"/>
        </w:rPr>
        <w:t xml:space="preserve">The organization's partial compliance posture (45% compliant, 27% partial, 21% non-compliant) is consistent with early-to-mid stage compliance programs. With a structured remediation approach and executive commitment to the management action plan, WhaleAX is positioned to achieve a defensible compliance posture within 12 months.</w:t>
      </w:r>
    </w:p>
    <w:p>
      <w:pPr>
        <w:spacing w:after="60" w:before="120"/>
      </w:pPr>
      <w:r>
        <w:t xml:space="preserve"/>
      </w:r>
    </w:p>
    <w:p>
      <w:pPr>
        <w:spacing w:after="60" w:before="60"/>
      </w:pPr>
      <w:r>
        <w:rPr>
          <w:rFonts w:ascii="Arial" w:cs="Arial" w:eastAsia="Arial" w:hAnsi="Arial"/>
          <w:b w:val="false"/>
          <w:bCs w:val="false"/>
          <w:i/>
          <w:iCs/>
          <w:color w:val="595959"/>
          <w:sz w:val="18"/>
          <w:szCs w:val="18"/>
        </w:rPr>
        <w:t xml:space="preserve">This report is prepared solely for the use of WhaleAX Financial Consulting Services Pvt Ltd management and authorized personnel. Distribution to third parties requires written authorization from both parties.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before="100"/>
    </w:pPr>
    <w:r>
      <w:rPr>
        <w:rFonts w:ascii="Arial" w:cs="Arial" w:eastAsia="Arial" w:hAnsi="Arial"/>
        <w:color w:val="595959"/>
        <w:sz w:val="16"/>
        <w:szCs w:val="16"/>
      </w:rPr>
      <w:t xml:space="preserve">PCI DSS v4.0 Gap Assessment  |  Engagement Ref: WAX-PCI-2025-001  |  CONFIDENTIAL</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rFonts w:ascii="Arial" w:cs="Arial" w:eastAsia="Arial" w:hAnsi="Arial"/>
        <w:b/>
        <w:bCs/>
        <w:color w:val="595959"/>
        <w:sz w:val="18"/>
        <w:szCs w:val="18"/>
      </w:rPr>
      <w:t xml:space="preserve">CONFIDENTIAL | WhaleAX Financial Consulting Services Pvt Ltd</w:t>
    </w:r>
    <w:r>
      <w:rPr>
        <w:rFonts w:ascii="Arial" w:cs="Arial" w:eastAsia="Arial" w:hAnsi="Arial"/>
        <w:color w:val="2E75B6"/>
        <w:sz w:val="18"/>
        <w:szCs w:val="18"/>
      </w:rPr>
      <w:t xml:space="preserve">   |   Executive Summary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2026-05-30T05:00:09.244Z</dcterms:created>
  <dcterms:modified xsi:type="dcterms:W3CDTF">2026-05-30T05:00:09.244Z</dcterms:modified>
</cp:coreProperties>
</file>

<file path=docProps/custom.xml><?xml version="1.0" encoding="utf-8"?>
<Properties xmlns="http://schemas.openxmlformats.org/officeDocument/2006/custom-properties" xmlns:vt="http://schemas.openxmlformats.org/officeDocument/2006/docPropsVTypes"/>
</file>