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Final PCI DSS Gap Assessment Report</w:t>
      </w:r>
    </w:p>
    <w:p>
      <w:pPr>
        <w:spacing w:after="480" w:before="120"/>
        <w:jc w:val="center"/>
      </w:pPr>
      <w:r>
        <w:rPr>
          <w:rFonts w:ascii="Arial" w:cs="Arial" w:eastAsia="Arial" w:hAnsi="Arial"/>
          <w:b w:val="false"/>
          <w:bCs w:val="false"/>
          <w:color w:val="595959"/>
          <w:sz w:val="28"/>
          <w:szCs w:val="28"/>
        </w:rPr>
        <w:t xml:space="preserve">Comprehensive Control Assessment &amp; Findings</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RESTRICTED DISTRIBUTION</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June 23,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1. Introduction and Engagement Overview</w:t>
      </w:r>
    </w:p>
    <w:p>
      <w:pPr>
        <w:spacing w:after="60" w:before="60"/>
      </w:pPr>
      <w:r>
        <w:rPr>
          <w:rFonts w:ascii="Arial" w:cs="Arial" w:eastAsia="Arial" w:hAnsi="Arial"/>
          <w:b w:val="false"/>
          <w:bCs w:val="false"/>
          <w:i w:val="false"/>
          <w:iCs w:val="false"/>
          <w:color w:val="1A1A1A"/>
          <w:sz w:val="22"/>
          <w:szCs w:val="22"/>
        </w:rPr>
        <w:t xml:space="preserve">This Final PCI DSS Gap Assessment Report documents the complete findings, evidence reviewed, control assessments, and remediation recommendations resulting from the engagement conducted for WhaleAX Financial Consulting Services Pvt Ltd (Engagement Reference: WAX-PCI-2025-001).</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The assessment was conducted by the PCI DSS Assessment &amp; Assurance Practice between April 14, 2025 and June 20, 2025. All 12 PCI DSS v4.0 Requirements were assessed against WhaleAX's in-scope systems and environments, with 251 individual controls evaluated using examine, interview, observe, and test methodologies.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1.1 Organization Background</w:t>
      </w:r>
    </w:p>
    <w:p>
      <w:pPr>
        <w:spacing w:after="60" w:before="60"/>
      </w:pPr>
      <w:r>
        <w:rPr>
          <w:rFonts w:ascii="Arial" w:cs="Arial" w:eastAsia="Arial" w:hAnsi="Arial"/>
          <w:b w:val="false"/>
          <w:bCs w:val="false"/>
          <w:i w:val="false"/>
          <w:iCs w:val="false"/>
          <w:color w:val="1A1A1A"/>
          <w:sz w:val="22"/>
          <w:szCs w:val="22"/>
        </w:rPr>
        <w:t xml:space="preserve">WhaleAX Financial Consulting Services Pvt Ltd is a financial consulting and payment operations support company incorporated in India, with its registered office in Delhi NCR. The organization provides specialized services to merchant acquirers, payment facilitators, and financial institutions, including:</w:t>
      </w:r>
    </w:p>
    <w:p>
      <w:pPr>
        <w:pStyle w:val="ListParagraph"/>
        <w:numPr>
          <w:ilvl w:val="0"/>
          <w:numId w:val="2"/>
        </w:numPr>
        <w:spacing w:after="40" w:before="40"/>
      </w:pPr>
      <w:r>
        <w:rPr>
          <w:rFonts w:ascii="Arial" w:cs="Arial" w:eastAsia="Arial" w:hAnsi="Arial"/>
          <w:sz w:val="22"/>
          <w:szCs w:val="22"/>
        </w:rPr>
        <w:t xml:space="preserve">Payment support operations and transaction investigation services</w:t>
      </w:r>
    </w:p>
    <w:p>
      <w:pPr>
        <w:pStyle w:val="ListParagraph"/>
        <w:numPr>
          <w:ilvl w:val="0"/>
          <w:numId w:val="2"/>
        </w:numPr>
        <w:spacing w:after="40" w:before="40"/>
      </w:pPr>
      <w:r>
        <w:rPr>
          <w:rFonts w:ascii="Arial" w:cs="Arial" w:eastAsia="Arial" w:hAnsi="Arial"/>
          <w:sz w:val="22"/>
          <w:szCs w:val="22"/>
        </w:rPr>
        <w:t xml:space="preserve">Credit card dispute management and chargeback processing support</w:t>
      </w:r>
    </w:p>
    <w:p>
      <w:pPr>
        <w:pStyle w:val="ListParagraph"/>
        <w:numPr>
          <w:ilvl w:val="0"/>
          <w:numId w:val="2"/>
        </w:numPr>
        <w:spacing w:after="40" w:before="40"/>
      </w:pPr>
      <w:r>
        <w:rPr>
          <w:rFonts w:ascii="Arial" w:cs="Arial" w:eastAsia="Arial" w:hAnsi="Arial"/>
          <w:sz w:val="22"/>
          <w:szCs w:val="22"/>
        </w:rPr>
        <w:t xml:space="preserve">Merchant audit readiness advisory and PCI DSS compliance consulting</w:t>
      </w:r>
    </w:p>
    <w:p>
      <w:pPr>
        <w:pStyle w:val="ListParagraph"/>
        <w:numPr>
          <w:ilvl w:val="0"/>
          <w:numId w:val="2"/>
        </w:numPr>
        <w:spacing w:after="40" w:before="40"/>
      </w:pPr>
      <w:r>
        <w:rPr>
          <w:rFonts w:ascii="Arial" w:cs="Arial" w:eastAsia="Arial" w:hAnsi="Arial"/>
          <w:sz w:val="22"/>
          <w:szCs w:val="22"/>
        </w:rPr>
        <w:t xml:space="preserve">Risk and control assessments for payment ecosystem participants</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WhaleAX operates within the payment card ecosystem in a supporting capacity. While the organization does NOT store Primary Account Numbers (PAN), Card Verification Values (CVV), or full Sensitive Authentication Data (SAD), it does handle tokenized transaction references, transaction metadata, dispute management workflows, and limited cardholder-related information in the context of providing its consulting services.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1.2 PCI DSS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Scope Element</w:t>
            </w:r>
          </w:p>
        </w:tc>
        <w:tc>
          <w:tcPr>
            <w:tcW w:type="dxa" w:w="62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PCI DSS Version</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PCI DSS v4.0 (Published March 2022)</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Assessment Type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 Assessment (Pre-ROC Readiness)</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Assessment Period</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14, 2025 – June 20, 2025</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CDE Environment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Production VPC (us-east-1) – Primary production environment</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Types Handled</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Tokenized transaction references, transaction metadata, dispute management data</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NOT Present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PAN, CVV2, SAD, Track Data, PIN – Explicitly confirmed out of scope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In-Scope Systems</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 primary system components across cloud, on-premise, and SaaS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In-Scope Users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 Analyst workstations + Administrative users</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Third Parties</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key service providers: AWS, Okta, Tenable.io</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Assessment Methodology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Examine, Interview, Observe, Test – All 4 PCI DSS methods applied</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2. Requirement-by-Requirement Assessment Summary</w:t>
      </w:r>
    </w:p>
    <w:p>
      <w:pPr>
        <w:spacing w:after="60" w:before="60"/>
      </w:pPr>
      <w:r>
        <w:rPr>
          <w:rFonts w:ascii="Arial" w:cs="Arial" w:eastAsia="Arial" w:hAnsi="Arial"/>
          <w:b w:val="false"/>
          <w:bCs w:val="false"/>
          <w:i w:val="false"/>
          <w:iCs w:val="false"/>
          <w:color w:val="1A1A1A"/>
          <w:sz w:val="22"/>
          <w:szCs w:val="22"/>
        </w:rPr>
        <w:t xml:space="preserve">The following table provides a consolidated summary of the compliance status for each of the 12 PCI DSS v4.0 Requirements. Detailed assessment results, evidence reviewed, and findings for each requirement are documented in the Gap Assessment Workbook (WAX-PCI-2025-001_Gap_Assessment_Workbook.xlsx).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432"/>
        <w:gridCol w:w="1404"/>
        <w:gridCol w:w="936"/>
        <w:gridCol w:w="936"/>
        <w:gridCol w:w="936"/>
        <w:gridCol w:w="936"/>
        <w:gridCol w:w="1156"/>
      </w:tblGrid>
      <w:tr>
        <w:tc>
          <w:tcPr>
            <w:tcW w:type="dxa" w:w="62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w:t>
            </w:r>
          </w:p>
        </w:tc>
        <w:tc>
          <w:tcPr>
            <w:tcW w:type="dxa" w:w="343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Title</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Findings</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Critical</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High</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Medium</w:t>
            </w:r>
          </w:p>
        </w:tc>
        <w:tc>
          <w:tcPr>
            <w:tcW w:type="dxa" w:w="115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Low</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1</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Install and Maintain Network Security Controls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2</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Apply Secure Configurations to All System Components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3</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Protect Stored Account Data</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4</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Protect Cardholder Data with Strong Cryptography During Transmission</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Compliant</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5</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Protect All Systems and Networks from Malicious Software</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6</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Develop and Maintain Secure Systems and Software</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7</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Restrict Access to System Components and Cardholder Data</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8</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Identify Users and Authenticate Access to System Components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9</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Restrict Physical Access to Cardholder Data</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10</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and Monitor All Access to System Components and Cardholder Data</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2</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11</w:t>
            </w:r>
          </w:p>
        </w:tc>
        <w:tc>
          <w:tcPr>
            <w:tcW w:type="dxa" w:w="343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 Security of Systems and Networks Regularly</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Partial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1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Req 12</w:t>
            </w:r>
          </w:p>
        </w:tc>
        <w:tc>
          <w:tcPr>
            <w:tcW w:type="dxa" w:w="343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 Information Security with Organizational Policies and Programs</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1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624"/>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Total</w:t>
            </w:r>
          </w:p>
        </w:tc>
        <w:tc>
          <w:tcPr>
            <w:tcW w:type="dxa" w:w="3432"/>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12 Requirements Assessed</w:t>
            </w:r>
          </w:p>
        </w:tc>
        <w:tc>
          <w:tcPr>
            <w:tcW w:type="dxa" w:w="1404"/>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936"/>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34</w:t>
            </w:r>
          </w:p>
        </w:tc>
        <w:tc>
          <w:tcPr>
            <w:tcW w:type="dxa" w:w="936"/>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3</w:t>
            </w:r>
          </w:p>
        </w:tc>
        <w:tc>
          <w:tcPr>
            <w:tcW w:type="dxa" w:w="936"/>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12</w:t>
            </w:r>
          </w:p>
        </w:tc>
        <w:tc>
          <w:tcPr>
            <w:tcW w:type="dxa" w:w="936"/>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15</w:t>
            </w:r>
          </w:p>
        </w:tc>
        <w:tc>
          <w:tcPr>
            <w:tcW w:type="dxa" w:w="1156"/>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3. Detailed Findings – Critical and High Risk</w:t>
      </w:r>
    </w:p>
    <w:p>
      <w:pPr>
        <w:spacing w:after="60" w:before="60"/>
      </w:pPr>
      <w:r>
        <w:rPr>
          <w:rFonts w:ascii="Arial" w:cs="Arial" w:eastAsia="Arial" w:hAnsi="Arial"/>
          <w:b w:val="false"/>
          <w:bCs w:val="false"/>
          <w:i w:val="false"/>
          <w:iCs w:val="false"/>
          <w:color w:val="1A1A1A"/>
          <w:sz w:val="22"/>
          <w:szCs w:val="22"/>
        </w:rPr>
        <w:t xml:space="preserve">This section presents detailed documentation of Critical and High-risk findings identified during the assessment. Each finding includes a description, evidence reviewed, risk rating justification, compensating controls (where applicable), and recommended remediation actions.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3.1 FINDING F-001: Critical Patch Remediation SLA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Attribute</w:t>
            </w:r>
          </w:p>
        </w:tc>
        <w:tc>
          <w:tcPr>
            <w:tcW w:type="dxa" w:w="655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ID</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F-001</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Title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 Patch Remediation SLA Breach – Production Application Servers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PCI DSS Requirement</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6.3.3 – All system components are protected from known vulnerabilities by installing applicable security patches/updates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Affected Systems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WAX-APP-01 (10.0.1.10), WAX-APP-02 (10.0.1.11)</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Rating</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CRITICAL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Likelihood</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Residual Risk (Post-Control)</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Status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 – Immediate Remediation Required</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Target Remediation Date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July 14, 2025 (30 days from report date)</w:t>
            </w:r>
          </w:p>
        </w:tc>
      </w:tr>
    </w:tbl>
    <w:p>
      <w:pPr>
        <w:spacing w:after="60" w:before="60"/>
      </w:pPr>
      <w:r>
        <w:t xml:space="preserve"/>
      </w:r>
    </w:p>
    <w:p>
      <w:pPr>
        <w:spacing w:after="60" w:before="180"/>
      </w:pPr>
      <w:r>
        <w:rPr>
          <w:rFonts w:ascii="Arial" w:cs="Arial" w:eastAsia="Arial" w:hAnsi="Arial"/>
          <w:b/>
          <w:bCs/>
          <w:color w:val="1B3A6B"/>
          <w:sz w:val="24"/>
          <w:szCs w:val="24"/>
        </w:rPr>
        <w:t xml:space="preserve">Finding Description</w:t>
      </w:r>
    </w:p>
    <w:p>
      <w:pPr>
        <w:spacing w:after="60" w:before="60"/>
      </w:pPr>
      <w:r>
        <w:rPr>
          <w:rFonts w:ascii="Arial" w:cs="Arial" w:eastAsia="Arial" w:hAnsi="Arial"/>
          <w:b w:val="false"/>
          <w:bCs w:val="false"/>
          <w:i w:val="false"/>
          <w:iCs w:val="false"/>
          <w:color w:val="1A1A1A"/>
          <w:sz w:val="22"/>
          <w:szCs w:val="22"/>
        </w:rPr>
        <w:t xml:space="preserve">During technical review of the vulnerability management platform (Tenable.io – WAX-VULN-01), the assessment team identified three (3) Critical-severity vulnerabilities on production application servers WAX-APP-01 and WAX-APP-02 that have exceeded WhaleAX's documented 30-day critical patch remediation SLA: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2808"/>
        <w:gridCol w:w="1404"/>
        <w:gridCol w:w="1404"/>
      </w:tblGrid>
      <w:tr>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CVE</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CVSS Score</w:t>
            </w:r>
          </w:p>
        </w:tc>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Affected Component</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Days Overdue</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System</w:t>
            </w:r>
          </w:p>
        </w:tc>
      </w:tr>
      <w:tr>
        <w:tc>
          <w:tcPr>
            <w:tcW w:type="dxa" w:w="2340"/>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CVE-2024-21413</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9.8 (Critical)</w:t>
            </w:r>
          </w:p>
        </w:tc>
        <w:tc>
          <w:tcPr>
            <w:tcW w:type="dxa" w:w="2808"/>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Microsoft Windows NTLM (OS Layer)</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97 days</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WAX-APP-01, WAX-APP-02</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CVE-2024-38077</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9.8 (Critical)</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Apache HTTP Server 2.4.x (Web Layer)</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62 days</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WAX-APP-01</w:t>
            </w:r>
          </w:p>
        </w:tc>
      </w:tr>
      <w:tr>
        <w:tc>
          <w:tcPr>
            <w:tcW w:type="dxa" w:w="2340"/>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CVE-2024-47176</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9.9 (Critical)</w:t>
            </w:r>
          </w:p>
        </w:tc>
        <w:tc>
          <w:tcPr>
            <w:tcW w:type="dxa" w:w="2808"/>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OpenSSL 3.0.x (Encryption Library)</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41 days</w:t>
            </w:r>
          </w:p>
        </w:tc>
        <w:tc>
          <w:tcPr>
            <w:tcW w:type="dxa" w:w="1404"/>
            <w:gridSpan w:val="1"/>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WAX-APP-02</w:t>
            </w:r>
          </w:p>
        </w:tc>
      </w:tr>
    </w:tbl>
    <w:p>
      <w:pPr>
        <w:spacing w:after="60" w:before="60"/>
      </w:pPr>
      <w:r>
        <w:t xml:space="preserve"/>
      </w:r>
    </w:p>
    <w:p>
      <w:pPr>
        <w:spacing w:after="60" w:before="180"/>
      </w:pPr>
      <w:r>
        <w:rPr>
          <w:rFonts w:ascii="Arial" w:cs="Arial" w:eastAsia="Arial" w:hAnsi="Arial"/>
          <w:b/>
          <w:bCs/>
          <w:color w:val="1B3A6B"/>
          <w:sz w:val="24"/>
          <w:szCs w:val="24"/>
        </w:rPr>
        <w:t xml:space="preserve">Evidence Reviewed</w:t>
      </w:r>
    </w:p>
    <w:p>
      <w:pPr>
        <w:pStyle w:val="ListParagraph"/>
        <w:numPr>
          <w:ilvl w:val="0"/>
          <w:numId w:val="2"/>
        </w:numPr>
        <w:spacing w:after="40" w:before="40"/>
      </w:pPr>
      <w:r>
        <w:rPr>
          <w:rFonts w:ascii="Arial" w:cs="Arial" w:eastAsia="Arial" w:hAnsi="Arial"/>
          <w:sz w:val="22"/>
          <w:szCs w:val="22"/>
        </w:rPr>
        <w:t xml:space="preserve">Tenable.io vulnerability scan report dated June 5, 2025 (ERL-2025-042)</w:t>
      </w:r>
    </w:p>
    <w:p>
      <w:pPr>
        <w:pStyle w:val="ListParagraph"/>
        <w:numPr>
          <w:ilvl w:val="0"/>
          <w:numId w:val="2"/>
        </w:numPr>
        <w:spacing w:after="40" w:before="40"/>
      </w:pPr>
      <w:r>
        <w:rPr>
          <w:rFonts w:ascii="Arial" w:cs="Arial" w:eastAsia="Arial" w:hAnsi="Arial"/>
          <w:sz w:val="22"/>
          <w:szCs w:val="22"/>
        </w:rPr>
        <w:t xml:space="preserve">Patch management policy document v2.1 (ERL-2025-011) – states 30-day SLA for critical patches</w:t>
      </w:r>
    </w:p>
    <w:p>
      <w:pPr>
        <w:pStyle w:val="ListParagraph"/>
        <w:numPr>
          <w:ilvl w:val="0"/>
          <w:numId w:val="2"/>
        </w:numPr>
        <w:spacing w:after="40" w:before="40"/>
      </w:pPr>
      <w:r>
        <w:rPr>
          <w:rFonts w:ascii="Arial" w:cs="Arial" w:eastAsia="Arial" w:hAnsi="Arial"/>
          <w:sz w:val="22"/>
          <w:szCs w:val="22"/>
        </w:rPr>
        <w:t xml:space="preserve">System patch log export from WAX-APP-01 and WAX-APP-02 (ERL-2025-043)</w:t>
      </w:r>
    </w:p>
    <w:p>
      <w:pPr>
        <w:pStyle w:val="ListParagraph"/>
        <w:numPr>
          <w:ilvl w:val="0"/>
          <w:numId w:val="2"/>
        </w:numPr>
        <w:spacing w:after="40" w:before="40"/>
      </w:pPr>
      <w:r>
        <w:rPr>
          <w:rFonts w:ascii="Arial" w:cs="Arial" w:eastAsia="Arial" w:hAnsi="Arial"/>
          <w:sz w:val="22"/>
          <w:szCs w:val="22"/>
        </w:rPr>
        <w:t xml:space="preserve">Change management records from ServiceNow (ERL-2025-044) – No approved change tickets for above CVEs</w:t>
      </w:r>
    </w:p>
    <w:p>
      <w:pPr>
        <w:spacing w:after="60" w:before="60"/>
      </w:pPr>
      <w:r>
        <w:t xml:space="preserve"/>
      </w:r>
    </w:p>
    <w:p>
      <w:pPr>
        <w:spacing w:after="60" w:before="180"/>
      </w:pPr>
      <w:r>
        <w:rPr>
          <w:rFonts w:ascii="Arial" w:cs="Arial" w:eastAsia="Arial" w:hAnsi="Arial"/>
          <w:b/>
          <w:bCs/>
          <w:color w:val="1B3A6B"/>
          <w:sz w:val="24"/>
          <w:szCs w:val="24"/>
        </w:rPr>
        <w:t xml:space="preserve">Risk Justification</w:t>
      </w:r>
    </w:p>
    <w:p>
      <w:pPr>
        <w:spacing w:after="60" w:before="60"/>
      </w:pPr>
      <w:r>
        <w:rPr>
          <w:rFonts w:ascii="Arial" w:cs="Arial" w:eastAsia="Arial" w:hAnsi="Arial"/>
          <w:b w:val="false"/>
          <w:bCs w:val="false"/>
          <w:i w:val="false"/>
          <w:iCs w:val="false"/>
          <w:color w:val="1A1A1A"/>
          <w:sz w:val="22"/>
          <w:szCs w:val="22"/>
        </w:rPr>
        <w:t xml:space="preserve">All three CVEs carry CVSS scores of 9.8 or above, indicating network-exploitable vulnerabilities with low attack complexity and no privileges required. Given WhaleAX's role in handling payment operations data, exploitation of any of these vulnerabilities could result in unauthorized access to the CDE, data exfiltration, or system compromise. The extended exposure window (41–97 days overdue) significantly amplifies risk.</w:t>
      </w:r>
    </w:p>
    <w:p>
      <w:pPr>
        <w:spacing w:after="60" w:before="60"/>
      </w:pPr>
      <w:r>
        <w:t xml:space="preserve"/>
      </w:r>
    </w:p>
    <w:p>
      <w:pPr>
        <w:spacing w:after="60" w:before="180"/>
      </w:pPr>
      <w:r>
        <w:rPr>
          <w:rFonts w:ascii="Arial" w:cs="Arial" w:eastAsia="Arial" w:hAnsi="Arial"/>
          <w:b/>
          <w:bCs/>
          <w:color w:val="1B3A6B"/>
          <w:sz w:val="24"/>
          <w:szCs w:val="24"/>
        </w:rPr>
        <w:t xml:space="preserve">Compensating Controls</w:t>
      </w:r>
    </w:p>
    <w:p>
      <w:pPr>
        <w:spacing w:after="60" w:before="60"/>
      </w:pPr>
      <w:r>
        <w:rPr>
          <w:rFonts w:ascii="Arial" w:cs="Arial" w:eastAsia="Arial" w:hAnsi="Arial"/>
          <w:b w:val="false"/>
          <w:bCs w:val="false"/>
          <w:i w:val="false"/>
          <w:iCs w:val="false"/>
          <w:color w:val="1A1A1A"/>
          <w:sz w:val="22"/>
          <w:szCs w:val="22"/>
        </w:rPr>
        <w:t xml:space="preserve">No formal compensating controls are currently in place. WAF (Web Application Firewall) has been confirmed as not deployed on WAX-APP-01 or WAX-APP-02. AWS Security Groups provide network-level filtering but do not mitigate the underlying vulnerability risk.</w:t>
      </w:r>
    </w:p>
    <w:p>
      <w:pPr>
        <w:spacing w:after="60" w:before="60"/>
      </w:pPr>
      <w:r>
        <w:t xml:space="preserve"/>
      </w:r>
    </w:p>
    <w:p>
      <w:pPr>
        <w:spacing w:after="60" w:before="180"/>
      </w:pPr>
      <w:r>
        <w:rPr>
          <w:rFonts w:ascii="Arial" w:cs="Arial" w:eastAsia="Arial" w:hAnsi="Arial"/>
          <w:b/>
          <w:bCs/>
          <w:color w:val="1B3A6B"/>
          <w:sz w:val="24"/>
          <w:szCs w:val="24"/>
        </w:rPr>
        <w:t xml:space="preserve">Recommended Remediation</w:t>
      </w:r>
    </w:p>
    <w:p>
      <w:pPr>
        <w:pStyle w:val="ListParagraph"/>
        <w:numPr>
          <w:ilvl w:val="0"/>
          <w:numId w:val="2"/>
        </w:numPr>
        <w:spacing w:after="40" w:before="40"/>
      </w:pPr>
      <w:r>
        <w:rPr>
          <w:rFonts w:ascii="Arial" w:cs="Arial" w:eastAsia="Arial" w:hAnsi="Arial"/>
          <w:sz w:val="22"/>
          <w:szCs w:val="22"/>
        </w:rPr>
        <w:t xml:space="preserve">IMMEDIATE: Initiate emergency change management request to apply all three patches within 7 days.</w:t>
      </w:r>
    </w:p>
    <w:p>
      <w:pPr>
        <w:pStyle w:val="ListParagraph"/>
        <w:numPr>
          <w:ilvl w:val="0"/>
          <w:numId w:val="2"/>
        </w:numPr>
        <w:spacing w:after="40" w:before="40"/>
      </w:pPr>
      <w:r>
        <w:rPr>
          <w:rFonts w:ascii="Arial" w:cs="Arial" w:eastAsia="Arial" w:hAnsi="Arial"/>
          <w:sz w:val="22"/>
          <w:szCs w:val="22"/>
        </w:rPr>
        <w:t xml:space="preserve">Deploy AWS WAF in front of application servers as interim compensating control while patches are tested.</w:t>
      </w:r>
    </w:p>
    <w:p>
      <w:pPr>
        <w:pStyle w:val="ListParagraph"/>
        <w:numPr>
          <w:ilvl w:val="0"/>
          <w:numId w:val="2"/>
        </w:numPr>
        <w:spacing w:after="40" w:before="40"/>
      </w:pPr>
      <w:r>
        <w:rPr>
          <w:rFonts w:ascii="Arial" w:cs="Arial" w:eastAsia="Arial" w:hAnsi="Arial"/>
          <w:sz w:val="22"/>
          <w:szCs w:val="22"/>
        </w:rPr>
        <w:t xml:space="preserve">Implement automated patch management tooling (AWS Systems Manager Patch Manager) for systematic patch deployment.</w:t>
      </w:r>
    </w:p>
    <w:p>
      <w:pPr>
        <w:pStyle w:val="ListParagraph"/>
        <w:numPr>
          <w:ilvl w:val="0"/>
          <w:numId w:val="2"/>
        </w:numPr>
        <w:spacing w:after="40" w:before="40"/>
      </w:pPr>
      <w:r>
        <w:rPr>
          <w:rFonts w:ascii="Arial" w:cs="Arial" w:eastAsia="Arial" w:hAnsi="Arial"/>
          <w:sz w:val="22"/>
          <w:szCs w:val="22"/>
        </w:rPr>
        <w:t xml:space="preserve">Establish exception/waiver process for cases where patches require extended testing, with mandatory compensating controls and formal approval.</w:t>
      </w:r>
    </w:p>
    <w:p>
      <w:pPr>
        <w:pStyle w:val="ListParagraph"/>
        <w:numPr>
          <w:ilvl w:val="0"/>
          <w:numId w:val="2"/>
        </w:numPr>
        <w:spacing w:after="40" w:before="40"/>
      </w:pPr>
      <w:r>
        <w:rPr>
          <w:rFonts w:ascii="Arial" w:cs="Arial" w:eastAsia="Arial" w:hAnsi="Arial"/>
          <w:sz w:val="22"/>
          <w:szCs w:val="22"/>
        </w:rPr>
        <w:t xml:space="preserve">Review and update patch management SLA to include formal escalation triggers and executive notification for overdue critical patches.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3.2 FINDING F-002: Firewall Rule Review Evidence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Attribute</w:t>
            </w:r>
          </w:p>
        </w:tc>
        <w:tc>
          <w:tcPr>
            <w:tcW w:type="dxa" w:w="655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ID</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F-002</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Title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Rule Review Evidence Incomplete – Quarterly Review Cycle Missing</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PCI DSS Requirement</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1.3.2 – All inbound traffic to the CDE is restricted except as required for business needs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Affected Systems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WAX-FW-01 (AWS Network Firewall), VPC Security Groups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Rating</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CRITICAL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Status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Target Remediation Date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August 14, 2025 (60 days from report date)</w:t>
            </w:r>
          </w:p>
        </w:tc>
      </w:tr>
    </w:tbl>
    <w:p>
      <w:pPr>
        <w:spacing w:after="60" w:before="60"/>
      </w:pPr>
      <w:r>
        <w:t xml:space="preserve"/>
      </w:r>
    </w:p>
    <w:p>
      <w:pPr>
        <w:spacing w:after="60" w:before="180"/>
      </w:pPr>
      <w:r>
        <w:rPr>
          <w:rFonts w:ascii="Arial" w:cs="Arial" w:eastAsia="Arial" w:hAnsi="Arial"/>
          <w:b/>
          <w:bCs/>
          <w:color w:val="1B3A6B"/>
          <w:sz w:val="24"/>
          <w:szCs w:val="24"/>
        </w:rPr>
        <w:t xml:space="preserve">Finding Description</w:t>
      </w:r>
    </w:p>
    <w:p>
      <w:pPr>
        <w:spacing w:after="60" w:before="60"/>
      </w:pPr>
      <w:r>
        <w:rPr>
          <w:rFonts w:ascii="Arial" w:cs="Arial" w:eastAsia="Arial" w:hAnsi="Arial"/>
          <w:b w:val="false"/>
          <w:bCs w:val="false"/>
          <w:i w:val="false"/>
          <w:iCs w:val="false"/>
          <w:color w:val="1A1A1A"/>
          <w:sz w:val="22"/>
          <w:szCs w:val="22"/>
        </w:rPr>
        <w:t xml:space="preserve">PCI DSS Requirement 1.3.2 requires that all traffic allowed into the CDE is explicitly justified and documented through a minimum semi-annual firewall rule review. The assessment identified the following deficiencies:</w:t>
      </w:r>
    </w:p>
    <w:p>
      <w:pPr>
        <w:pStyle w:val="ListParagraph"/>
        <w:numPr>
          <w:ilvl w:val="0"/>
          <w:numId w:val="2"/>
        </w:numPr>
        <w:spacing w:after="40" w:before="40"/>
      </w:pPr>
      <w:r>
        <w:rPr>
          <w:rFonts w:ascii="Arial" w:cs="Arial" w:eastAsia="Arial" w:hAnsi="Arial"/>
          <w:sz w:val="22"/>
          <w:szCs w:val="22"/>
        </w:rPr>
        <w:t xml:space="preserve">Q4 2024 (October–December): Firewall rule review documentation not available. No completion evidence found in GRC system or email records.</w:t>
      </w:r>
    </w:p>
    <w:p>
      <w:pPr>
        <w:pStyle w:val="ListParagraph"/>
        <w:numPr>
          <w:ilvl w:val="0"/>
          <w:numId w:val="2"/>
        </w:numPr>
        <w:spacing w:after="40" w:before="40"/>
      </w:pPr>
      <w:r>
        <w:rPr>
          <w:rFonts w:ascii="Arial" w:cs="Arial" w:eastAsia="Arial" w:hAnsi="Arial"/>
          <w:sz w:val="22"/>
          <w:szCs w:val="22"/>
        </w:rPr>
        <w:t xml:space="preserve">Q1 2025 (January–March): Review initiated but not completed. Draft rule list exported from AWS console but no review sign-off, gap analysis, or obsolete rule removal evidence.</w:t>
      </w:r>
    </w:p>
    <w:p>
      <w:pPr>
        <w:pStyle w:val="ListParagraph"/>
        <w:numPr>
          <w:ilvl w:val="0"/>
          <w:numId w:val="2"/>
        </w:numPr>
        <w:spacing w:after="40" w:before="40"/>
      </w:pPr>
      <w:r>
        <w:rPr>
          <w:rFonts w:ascii="Arial" w:cs="Arial" w:eastAsia="Arial" w:hAnsi="Arial"/>
          <w:sz w:val="22"/>
          <w:szCs w:val="22"/>
        </w:rPr>
        <w:t xml:space="preserve">22 firewall rules flagged as potentially obsolete in the Q1 draft have not been reviewed, justified, or removed.</w:t>
      </w:r>
    </w:p>
    <w:p>
      <w:pPr>
        <w:pStyle w:val="ListParagraph"/>
        <w:numPr>
          <w:ilvl w:val="0"/>
          <w:numId w:val="2"/>
        </w:numPr>
        <w:spacing w:after="40" w:before="40"/>
      </w:pPr>
      <w:r>
        <w:rPr>
          <w:rFonts w:ascii="Arial" w:cs="Arial" w:eastAsia="Arial" w:hAnsi="Arial"/>
          <w:sz w:val="22"/>
          <w:szCs w:val="22"/>
        </w:rPr>
        <w:t xml:space="preserve">No formal firewall rule review procedure exists defining reviewer roles, approval authority, or evidence format.</w:t>
      </w:r>
    </w:p>
    <w:p>
      <w:pPr>
        <w:spacing w:after="60" w:before="60"/>
      </w:pPr>
      <w:r>
        <w:t xml:space="preserve"/>
      </w:r>
    </w:p>
    <w:p>
      <w:pPr>
        <w:spacing w:after="60" w:before="180"/>
      </w:pPr>
      <w:r>
        <w:rPr>
          <w:rFonts w:ascii="Arial" w:cs="Arial" w:eastAsia="Arial" w:hAnsi="Arial"/>
          <w:b/>
          <w:bCs/>
          <w:color w:val="1B3A6B"/>
          <w:sz w:val="24"/>
          <w:szCs w:val="24"/>
        </w:rPr>
        <w:t xml:space="preserve">Evidence Reviewed</w:t>
      </w:r>
    </w:p>
    <w:p>
      <w:pPr>
        <w:pStyle w:val="ListParagraph"/>
        <w:numPr>
          <w:ilvl w:val="0"/>
          <w:numId w:val="2"/>
        </w:numPr>
        <w:spacing w:after="40" w:before="40"/>
      </w:pPr>
      <w:r>
        <w:rPr>
          <w:rFonts w:ascii="Arial" w:cs="Arial" w:eastAsia="Arial" w:hAnsi="Arial"/>
          <w:sz w:val="22"/>
          <w:szCs w:val="22"/>
        </w:rPr>
        <w:t xml:space="preserve">AWS Network Firewall rule group export dated March 15, 2025 (ERL-2025-015)</w:t>
      </w:r>
    </w:p>
    <w:p>
      <w:pPr>
        <w:pStyle w:val="ListParagraph"/>
        <w:numPr>
          <w:ilvl w:val="0"/>
          <w:numId w:val="2"/>
        </w:numPr>
        <w:spacing w:after="40" w:before="40"/>
      </w:pPr>
      <w:r>
        <w:rPr>
          <w:rFonts w:ascii="Arial" w:cs="Arial" w:eastAsia="Arial" w:hAnsi="Arial"/>
          <w:sz w:val="22"/>
          <w:szCs w:val="22"/>
        </w:rPr>
        <w:t xml:space="preserve">GRC ticket log for firewall reviews (ERL-2025-016) – shows only Q3 2024 review completed</w:t>
      </w:r>
    </w:p>
    <w:p>
      <w:pPr>
        <w:pStyle w:val="ListParagraph"/>
        <w:numPr>
          <w:ilvl w:val="0"/>
          <w:numId w:val="2"/>
        </w:numPr>
        <w:spacing w:after="40" w:before="40"/>
      </w:pPr>
      <w:r>
        <w:rPr>
          <w:rFonts w:ascii="Arial" w:cs="Arial" w:eastAsia="Arial" w:hAnsi="Arial"/>
          <w:sz w:val="22"/>
          <w:szCs w:val="22"/>
        </w:rPr>
        <w:t xml:space="preserve">Email search results for firewall review sign-off (ERL-2025-017) – No evidence for Q4 2024 or Q1 2025</w:t>
      </w:r>
    </w:p>
    <w:p>
      <w:pPr>
        <w:pStyle w:val="ListParagraph"/>
        <w:numPr>
          <w:ilvl w:val="0"/>
          <w:numId w:val="2"/>
        </w:numPr>
        <w:spacing w:after="40" w:before="40"/>
      </w:pPr>
      <w:r>
        <w:rPr>
          <w:rFonts w:ascii="Arial" w:cs="Arial" w:eastAsia="Arial" w:hAnsi="Arial"/>
          <w:sz w:val="22"/>
          <w:szCs w:val="22"/>
        </w:rPr>
        <w:t xml:space="preserve">Firewall change log (ERL-2025-018) – 22 rules added without corresponding business justification</w:t>
      </w:r>
    </w:p>
    <w:p>
      <w:pPr>
        <w:spacing w:after="60" w:before="60"/>
      </w:pPr>
      <w:r>
        <w:t xml:space="preserve"/>
      </w:r>
    </w:p>
    <w:p>
      <w:pPr>
        <w:spacing w:after="60" w:before="180"/>
      </w:pPr>
      <w:r>
        <w:rPr>
          <w:rFonts w:ascii="Arial" w:cs="Arial" w:eastAsia="Arial" w:hAnsi="Arial"/>
          <w:b/>
          <w:bCs/>
          <w:color w:val="1B3A6B"/>
          <w:sz w:val="24"/>
          <w:szCs w:val="24"/>
        </w:rPr>
        <w:t xml:space="preserve">Recommended Remediation</w:t>
      </w:r>
    </w:p>
    <w:p>
      <w:pPr>
        <w:pStyle w:val="ListParagraph"/>
        <w:numPr>
          <w:ilvl w:val="0"/>
          <w:numId w:val="2"/>
        </w:numPr>
        <w:spacing w:after="40" w:before="40"/>
      </w:pPr>
      <w:r>
        <w:rPr>
          <w:rFonts w:ascii="Arial" w:cs="Arial" w:eastAsia="Arial" w:hAnsi="Arial"/>
          <w:sz w:val="22"/>
          <w:szCs w:val="22"/>
        </w:rPr>
        <w:t xml:space="preserve">Immediately initiate and complete the Q4 2024 and Q1 2025 retroactive firewall rule reviews.</w:t>
      </w:r>
    </w:p>
    <w:p>
      <w:pPr>
        <w:pStyle w:val="ListParagraph"/>
        <w:numPr>
          <w:ilvl w:val="0"/>
          <w:numId w:val="2"/>
        </w:numPr>
        <w:spacing w:after="40" w:before="40"/>
      </w:pPr>
      <w:r>
        <w:rPr>
          <w:rFonts w:ascii="Arial" w:cs="Arial" w:eastAsia="Arial" w:hAnsi="Arial"/>
          <w:sz w:val="22"/>
          <w:szCs w:val="22"/>
        </w:rPr>
        <w:t xml:space="preserve">Develop and implement a formal Firewall Rule Review Standard Operating Procedure (SOP).</w:t>
      </w:r>
    </w:p>
    <w:p>
      <w:pPr>
        <w:pStyle w:val="ListParagraph"/>
        <w:numPr>
          <w:ilvl w:val="0"/>
          <w:numId w:val="2"/>
        </w:numPr>
        <w:spacing w:after="40" w:before="40"/>
      </w:pPr>
      <w:r>
        <w:rPr>
          <w:rFonts w:ascii="Arial" w:cs="Arial" w:eastAsia="Arial" w:hAnsi="Arial"/>
          <w:sz w:val="22"/>
          <w:szCs w:val="22"/>
        </w:rPr>
        <w:t xml:space="preserve">Schedule quarterly reviews in IT calendar with designated reviewers and required evidence templates.</w:t>
      </w:r>
    </w:p>
    <w:p>
      <w:pPr>
        <w:pStyle w:val="ListParagraph"/>
        <w:numPr>
          <w:ilvl w:val="0"/>
          <w:numId w:val="2"/>
        </w:numPr>
        <w:spacing w:after="40" w:before="40"/>
      </w:pPr>
      <w:r>
        <w:rPr>
          <w:rFonts w:ascii="Arial" w:cs="Arial" w:eastAsia="Arial" w:hAnsi="Arial"/>
          <w:sz w:val="22"/>
          <w:szCs w:val="22"/>
        </w:rPr>
        <w:t xml:space="preserve">Review and remove or justify all 22 flagged obsolete rules within 30 days.</w:t>
      </w:r>
    </w:p>
    <w:p>
      <w:pPr>
        <w:pStyle w:val="ListParagraph"/>
        <w:numPr>
          <w:ilvl w:val="0"/>
          <w:numId w:val="2"/>
        </w:numPr>
        <w:spacing w:after="40" w:before="40"/>
      </w:pPr>
      <w:r>
        <w:rPr>
          <w:rFonts w:ascii="Arial" w:cs="Arial" w:eastAsia="Arial" w:hAnsi="Arial"/>
          <w:sz w:val="22"/>
          <w:szCs w:val="22"/>
        </w:rPr>
        <w:t xml:space="preserve">Implement AWS Config rules to detect and alert on unauthorized firewall rule changes.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3.3 FINDING F-003: Excessive Privileged Access – Analyst Role Over-Permission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Attribute</w:t>
            </w:r>
          </w:p>
        </w:tc>
        <w:tc>
          <w:tcPr>
            <w:tcW w:type="dxa" w:w="655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ID</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F-003</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Title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Excessive Privileged Access – Analyst Roles Have Over-Provisioned Database Permissions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PCI DSS Requirement</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7.2.1 – Access is granted based on least privilege and need-to-know</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Affected Systems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WAX-DB-01 (RDS PostgreSQL), AWS IAM, WAX-IAM-01</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Rating</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CRITICAL</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Finding Status</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Target Remediation Date</w:t>
            </w:r>
          </w:p>
        </w:tc>
        <w:tc>
          <w:tcPr>
            <w:tcW w:type="dxa" w:w="655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July 28, 2025 (35 days from report date)</w:t>
            </w:r>
          </w:p>
        </w:tc>
      </w:tr>
    </w:tbl>
    <w:p>
      <w:pPr>
        <w:spacing w:after="60" w:before="60"/>
      </w:pPr>
      <w:r>
        <w:t xml:space="preserve"/>
      </w:r>
    </w:p>
    <w:p>
      <w:pPr>
        <w:spacing w:after="60" w:before="180"/>
      </w:pPr>
      <w:r>
        <w:rPr>
          <w:rFonts w:ascii="Arial" w:cs="Arial" w:eastAsia="Arial" w:hAnsi="Arial"/>
          <w:b/>
          <w:bCs/>
          <w:color w:val="1B3A6B"/>
          <w:sz w:val="24"/>
          <w:szCs w:val="24"/>
        </w:rPr>
        <w:t xml:space="preserve">Finding Description</w:t>
      </w:r>
    </w:p>
    <w:p>
      <w:pPr>
        <w:spacing w:after="60" w:before="60"/>
      </w:pPr>
      <w:r>
        <w:rPr>
          <w:rFonts w:ascii="Arial" w:cs="Arial" w:eastAsia="Arial" w:hAnsi="Arial"/>
          <w:b w:val="false"/>
          <w:bCs w:val="false"/>
          <w:i w:val="false"/>
          <w:iCs w:val="false"/>
          <w:color w:val="1A1A1A"/>
          <w:sz w:val="22"/>
          <w:szCs w:val="22"/>
        </w:rPr>
        <w:t xml:space="preserve">A review of IAM policies and database access controls revealed significant over-provisioning of database privileges to analyst-level users. The following specific issues were identified:</w:t>
      </w:r>
    </w:p>
    <w:p>
      <w:pPr>
        <w:pStyle w:val="ListParagraph"/>
        <w:numPr>
          <w:ilvl w:val="0"/>
          <w:numId w:val="2"/>
        </w:numPr>
        <w:spacing w:after="40" w:before="40"/>
      </w:pPr>
      <w:r>
        <w:rPr>
          <w:rFonts w:ascii="Arial" w:cs="Arial" w:eastAsia="Arial" w:hAnsi="Arial"/>
          <w:sz w:val="22"/>
          <w:szCs w:val="22"/>
        </w:rPr>
        <w:t xml:space="preserve">14 of 25 analyst accounts (56%) have READ/WRITE access to production database tables that require READ ONLY access for their operational function.</w:t>
      </w:r>
    </w:p>
    <w:p>
      <w:pPr>
        <w:pStyle w:val="ListParagraph"/>
        <w:numPr>
          <w:ilvl w:val="0"/>
          <w:numId w:val="2"/>
        </w:numPr>
        <w:spacing w:after="40" w:before="40"/>
      </w:pPr>
      <w:r>
        <w:rPr>
          <w:rFonts w:ascii="Arial" w:cs="Arial" w:eastAsia="Arial" w:hAnsi="Arial"/>
          <w:sz w:val="22"/>
          <w:szCs w:val="22"/>
        </w:rPr>
        <w:t xml:space="preserve">4 analyst accounts hold DBA-level access privileges (ALTER TABLE, DROP TABLE, CREATE USER) with no documented business justification.</w:t>
      </w:r>
    </w:p>
    <w:p>
      <w:pPr>
        <w:pStyle w:val="ListParagraph"/>
        <w:numPr>
          <w:ilvl w:val="0"/>
          <w:numId w:val="2"/>
        </w:numPr>
        <w:spacing w:after="40" w:before="40"/>
      </w:pPr>
      <w:r>
        <w:rPr>
          <w:rFonts w:ascii="Arial" w:cs="Arial" w:eastAsia="Arial" w:hAnsi="Arial"/>
          <w:sz w:val="22"/>
          <w:szCs w:val="22"/>
        </w:rPr>
        <w:t xml:space="preserve">No role-based access control (RBAC) model is formally documented or implemented for database access.</w:t>
      </w:r>
    </w:p>
    <w:p>
      <w:pPr>
        <w:pStyle w:val="ListParagraph"/>
        <w:numPr>
          <w:ilvl w:val="0"/>
          <w:numId w:val="2"/>
        </w:numPr>
        <w:spacing w:after="40" w:before="40"/>
      </w:pPr>
      <w:r>
        <w:rPr>
          <w:rFonts w:ascii="Arial" w:cs="Arial" w:eastAsia="Arial" w:hAnsi="Arial"/>
          <w:sz w:val="22"/>
          <w:szCs w:val="22"/>
        </w:rPr>
        <w:t xml:space="preserve">No formal access recertification review has been conducted in the past 12 months.</w:t>
      </w:r>
    </w:p>
    <w:p>
      <w:pPr>
        <w:pStyle w:val="ListParagraph"/>
        <w:numPr>
          <w:ilvl w:val="0"/>
          <w:numId w:val="2"/>
        </w:numPr>
        <w:spacing w:after="40" w:before="40"/>
      </w:pPr>
      <w:r>
        <w:rPr>
          <w:rFonts w:ascii="Arial" w:cs="Arial" w:eastAsia="Arial" w:hAnsi="Arial"/>
          <w:sz w:val="22"/>
          <w:szCs w:val="22"/>
        </w:rPr>
        <w:t xml:space="preserve">Three service accounts (svc_analyst_ops, svc_dispute_mgr, svc_txn_lookup) share the same database password, in violation of PCI DSS 8.2.2.</w:t>
      </w:r>
    </w:p>
    <w:p>
      <w:pPr>
        <w:spacing w:after="60" w:before="60"/>
      </w:pPr>
      <w:r>
        <w:t xml:space="preserve"/>
      </w:r>
    </w:p>
    <w:p>
      <w:pPr>
        <w:spacing w:after="60" w:before="180"/>
      </w:pPr>
      <w:r>
        <w:rPr>
          <w:rFonts w:ascii="Arial" w:cs="Arial" w:eastAsia="Arial" w:hAnsi="Arial"/>
          <w:b/>
          <w:bCs/>
          <w:color w:val="1B3A6B"/>
          <w:sz w:val="24"/>
          <w:szCs w:val="24"/>
        </w:rPr>
        <w:t xml:space="preserve">Recommended Remediation</w:t>
      </w:r>
    </w:p>
    <w:p>
      <w:pPr>
        <w:pStyle w:val="ListParagraph"/>
        <w:numPr>
          <w:ilvl w:val="0"/>
          <w:numId w:val="2"/>
        </w:numPr>
        <w:spacing w:after="40" w:before="40"/>
      </w:pPr>
      <w:r>
        <w:rPr>
          <w:rFonts w:ascii="Arial" w:cs="Arial" w:eastAsia="Arial" w:hAnsi="Arial"/>
          <w:sz w:val="22"/>
          <w:szCs w:val="22"/>
        </w:rPr>
        <w:t xml:space="preserve">Immediately revoke DBA-level access from all 4 non-DBA analyst accounts.</w:t>
      </w:r>
    </w:p>
    <w:p>
      <w:pPr>
        <w:pStyle w:val="ListParagraph"/>
        <w:numPr>
          <w:ilvl w:val="0"/>
          <w:numId w:val="2"/>
        </w:numPr>
        <w:spacing w:after="40" w:before="40"/>
      </w:pPr>
      <w:r>
        <w:rPr>
          <w:rFonts w:ascii="Arial" w:cs="Arial" w:eastAsia="Arial" w:hAnsi="Arial"/>
          <w:sz w:val="22"/>
          <w:szCs w:val="22"/>
        </w:rPr>
        <w:t xml:space="preserve">Implement formal RBAC model with defined access tiers: Read-Only Analyst, Read-Write Senior Analyst, Database Administrator.</w:t>
      </w:r>
    </w:p>
    <w:p>
      <w:pPr>
        <w:pStyle w:val="ListParagraph"/>
        <w:numPr>
          <w:ilvl w:val="0"/>
          <w:numId w:val="2"/>
        </w:numPr>
        <w:spacing w:after="40" w:before="40"/>
      </w:pPr>
      <w:r>
        <w:rPr>
          <w:rFonts w:ascii="Arial" w:cs="Arial" w:eastAsia="Arial" w:hAnsi="Arial"/>
          <w:sz w:val="22"/>
          <w:szCs w:val="22"/>
        </w:rPr>
        <w:t xml:space="preserve">Reset and individualize all service account credentials; eliminate shared passwords immediately.</w:t>
      </w:r>
    </w:p>
    <w:p>
      <w:pPr>
        <w:pStyle w:val="ListParagraph"/>
        <w:numPr>
          <w:ilvl w:val="0"/>
          <w:numId w:val="2"/>
        </w:numPr>
        <w:spacing w:after="40" w:before="40"/>
      </w:pPr>
      <w:r>
        <w:rPr>
          <w:rFonts w:ascii="Arial" w:cs="Arial" w:eastAsia="Arial" w:hAnsi="Arial"/>
          <w:sz w:val="22"/>
          <w:szCs w:val="22"/>
        </w:rPr>
        <w:t xml:space="preserve">Conduct access recertification review for all 25 analyst accounts within 30 days.</w:t>
      </w:r>
    </w:p>
    <w:p>
      <w:pPr>
        <w:pStyle w:val="ListParagraph"/>
        <w:numPr>
          <w:ilvl w:val="0"/>
          <w:numId w:val="2"/>
        </w:numPr>
        <w:spacing w:after="40" w:before="40"/>
      </w:pPr>
      <w:r>
        <w:rPr>
          <w:rFonts w:ascii="Arial" w:cs="Arial" w:eastAsia="Arial" w:hAnsi="Arial"/>
          <w:sz w:val="22"/>
          <w:szCs w:val="22"/>
        </w:rPr>
        <w:t xml:space="preserve">Implement quarterly access recertification cycle managed through the IAM platform.</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4. Risk Summary and Prioritized Remediation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1404"/>
        <w:gridCol w:w="936"/>
        <w:gridCol w:w="936"/>
        <w:gridCol w:w="1404"/>
      </w:tblGrid>
      <w:tr>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374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Title</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Rating</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 Date</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 Patch Remediation SLA Breach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6.3</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P1</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14,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Rule Review Evidence Incomplete</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P1</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Excessive Privileged Access</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P1</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Jul 28,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Segmentation Validation</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1.4</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Sep 14,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Inconsistent Log Review Procedures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30,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F-006</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Weak Service Account Governance</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8.2</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F-007</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Incomplete Vulnerability Remediation Tracking</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11.3</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30,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F-008</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Incomplete Secure Configuration Baselines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2.2</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Sep 30,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F-009</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Insufficient Evidence Retention</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10.5</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Aug 14,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F-010</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Third-Party Risk Assessment Gaps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12.8</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P2</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Oct 14,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Awareness Training Not Documented</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12.6</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P3</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Nov 1,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Wireless Security Policy Gaps</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11.2</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Sep 30,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Incident Response Plan Not Tested</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12.10</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P3</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Nov 15, 2025</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Change Management Evidence Incomplete</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6.5</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P3</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Oct 14, 2025</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Physical Access Log Review Not Documented</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Low</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9.4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P4</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Dec 1, 2025</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5. Assessment Methodology and Limitations</w:t>
      </w:r>
    </w:p>
    <w:p>
      <w:pPr>
        <w:pStyle w:val="Heading2"/>
        <w:spacing w:after="80" w:before="240"/>
      </w:pPr>
      <w:r>
        <w:rPr>
          <w:rFonts w:ascii="Arial" w:cs="Arial" w:eastAsia="Arial" w:hAnsi="Arial"/>
          <w:b/>
          <w:bCs/>
          <w:color w:val="2E75B6"/>
          <w:sz w:val="28"/>
          <w:szCs w:val="28"/>
        </w:rPr>
        <w:t xml:space="preserve">5.1 Evidence Review Standards</w:t>
      </w:r>
    </w:p>
    <w:p>
      <w:pPr>
        <w:spacing w:after="60" w:before="60"/>
      </w:pPr>
      <w:r>
        <w:rPr>
          <w:rFonts w:ascii="Arial" w:cs="Arial" w:eastAsia="Arial" w:hAnsi="Arial"/>
          <w:b w:val="false"/>
          <w:bCs w:val="false"/>
          <w:i w:val="false"/>
          <w:iCs w:val="false"/>
          <w:color w:val="1A1A1A"/>
          <w:sz w:val="22"/>
          <w:szCs w:val="22"/>
        </w:rPr>
        <w:t xml:space="preserve">All evidence reviewed during this assessment was obtained directly from WhaleAX system owners, IT administrators, and compliance personnel through the formal Evidence Request List (ERL) process. Evidence was evaluated for completeness, accuracy, and representativeness. Where evidence was insufficient or unavailable, findings were noted accordingly.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5.2 Limitations</w:t>
      </w:r>
    </w:p>
    <w:p>
      <w:pPr>
        <w:pStyle w:val="ListParagraph"/>
        <w:numPr>
          <w:ilvl w:val="0"/>
          <w:numId w:val="2"/>
        </w:numPr>
        <w:spacing w:after="40" w:before="40"/>
      </w:pPr>
      <w:r>
        <w:rPr>
          <w:rFonts w:ascii="Arial" w:cs="Arial" w:eastAsia="Arial" w:hAnsi="Arial"/>
          <w:sz w:val="22"/>
          <w:szCs w:val="22"/>
        </w:rPr>
        <w:t xml:space="preserve">This assessment is a point-in-time evaluation and does not represent a continuous compliance posture.</w:t>
      </w:r>
    </w:p>
    <w:p>
      <w:pPr>
        <w:pStyle w:val="ListParagraph"/>
        <w:numPr>
          <w:ilvl w:val="0"/>
          <w:numId w:val="2"/>
        </w:numPr>
        <w:spacing w:after="40" w:before="40"/>
      </w:pPr>
      <w:r>
        <w:rPr>
          <w:rFonts w:ascii="Arial" w:cs="Arial" w:eastAsia="Arial" w:hAnsi="Arial"/>
          <w:sz w:val="22"/>
          <w:szCs w:val="22"/>
        </w:rPr>
        <w:t xml:space="preserve">Some configuration evidence was provided as screenshots rather than configuration exports; representation was accepted at face value with noted reservations.</w:t>
      </w:r>
    </w:p>
    <w:p>
      <w:pPr>
        <w:pStyle w:val="ListParagraph"/>
        <w:numPr>
          <w:ilvl w:val="0"/>
          <w:numId w:val="2"/>
        </w:numPr>
        <w:spacing w:after="40" w:before="40"/>
      </w:pPr>
      <w:r>
        <w:rPr>
          <w:rFonts w:ascii="Arial" w:cs="Arial" w:eastAsia="Arial" w:hAnsi="Arial"/>
          <w:sz w:val="22"/>
          <w:szCs w:val="22"/>
        </w:rPr>
        <w:t xml:space="preserve">Network penetration testing was not performed; segmentation findings are based on architecture review and documentation only.</w:t>
      </w:r>
    </w:p>
    <w:p>
      <w:pPr>
        <w:pStyle w:val="ListParagraph"/>
        <w:numPr>
          <w:ilvl w:val="0"/>
          <w:numId w:val="2"/>
        </w:numPr>
        <w:spacing w:after="40" w:before="40"/>
      </w:pPr>
      <w:r>
        <w:rPr>
          <w:rFonts w:ascii="Arial" w:cs="Arial" w:eastAsia="Arial" w:hAnsi="Arial"/>
          <w:sz w:val="22"/>
          <w:szCs w:val="22"/>
        </w:rPr>
        <w:t xml:space="preserve">This report does not constitute a PCI DSS Report on Compliance (ROC) or Attestation of Compliance (AOC).</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6. Conclusion</w:t>
      </w:r>
    </w:p>
    <w:p>
      <w:pPr>
        <w:spacing w:after="60" w:before="60"/>
      </w:pPr>
      <w:r>
        <w:rPr>
          <w:rFonts w:ascii="Arial" w:cs="Arial" w:eastAsia="Arial" w:hAnsi="Arial"/>
          <w:b w:val="false"/>
          <w:bCs w:val="false"/>
          <w:i w:val="false"/>
          <w:iCs w:val="false"/>
          <w:color w:val="1A1A1A"/>
          <w:sz w:val="22"/>
          <w:szCs w:val="22"/>
        </w:rPr>
        <w:t xml:space="preserve">WhaleAX Financial Consulting Services Pvt Ltd has made meaningful progress in establishing a security and compliance foundation appropriate to its role in the payment ecosystem. However, the 34 findings identified in this assessment—including 3 Critical and 12 High-risk gaps—represent material risk to the organization's ability to achieve PCI DSS v4.0 certification and to maintain the trust of its clients and payment card brands.</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The remediation roadmap provided in conjunction with this report outlines a structured, risk-prioritized path to compliance. With leadership commitment, dedicated resources, and adherence to the management action plan, WhaleAX is positioned to substantially close its compliance gaps within 12 months and engage a QSA for formal certification assessment.</w:t>
      </w:r>
    </w:p>
    <w:p>
      <w:pPr>
        <w:spacing w:after="60" w:before="120"/>
      </w:pPr>
      <w:r>
        <w:t xml:space="preserve"/>
      </w:r>
    </w:p>
    <w:p>
      <w:pPr>
        <w:spacing w:after="60" w:before="60"/>
      </w:pPr>
      <w:r>
        <w:rPr>
          <w:rFonts w:ascii="Arial" w:cs="Arial" w:eastAsia="Arial" w:hAnsi="Arial"/>
          <w:b w:val="false"/>
          <w:bCs w:val="false"/>
          <w:i/>
          <w:iCs/>
          <w:color w:val="595959"/>
          <w:sz w:val="18"/>
          <w:szCs w:val="18"/>
        </w:rPr>
        <w:t xml:space="preserve">Report prepared by the PCI DSS Assessment &amp; Assurance Practice. All findings are based on evidence reviewed and interviews conducted during the assessment period. This document is subject to client review and may be updated to reflect corrected factual information within 10 business days of issuance.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Final PCI DSS Gap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2026-05-30T05:00:09.480Z</dcterms:created>
  <dcterms:modified xsi:type="dcterms:W3CDTF">2026-05-30T05:00:09.480Z</dcterms:modified>
</cp:coreProperties>
</file>

<file path=docProps/custom.xml><?xml version="1.0" encoding="utf-8"?>
<Properties xmlns="http://schemas.openxmlformats.org/officeDocument/2006/custom-properties" xmlns:vt="http://schemas.openxmlformats.org/officeDocument/2006/docPropsVTypes"/>
</file>