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595959"/>
          <w:sz w:val="24"/>
          <w:szCs w:val="24"/>
        </w:rPr>
        <w:t xml:space="preserve">▮ WhaleAX Financial Consulting Services Pvt Ltd</w:t>
      </w:r>
    </w:p>
    <w:p>
      <w:pPr>
        <w:spacing w:after="120" w:before="480"/>
        <w:jc w:val="center"/>
      </w:pPr>
      <w:r>
        <w:rPr>
          <w:rFonts w:ascii="Arial" w:cs="Arial" w:eastAsia="Arial" w:hAnsi="Arial"/>
          <w:b/>
          <w:bCs/>
          <w:color w:val="1B3A6B"/>
          <w:sz w:val="52"/>
          <w:szCs w:val="52"/>
        </w:rPr>
        <w:t xml:space="preserve">PCI DSS v4.0 Gap Assessment</w:t>
      </w:r>
    </w:p>
    <w:p>
      <w:pPr>
        <w:spacing w:after="480" w:before="120"/>
        <w:jc w:val="center"/>
      </w:pPr>
      <w:r>
        <w:rPr>
          <w:rFonts w:ascii="Arial" w:cs="Arial" w:eastAsia="Arial" w:hAnsi="Arial"/>
          <w:b w:val="false"/>
          <w:bCs w:val="false"/>
          <w:color w:val="595959"/>
          <w:sz w:val="28"/>
          <w:szCs w:val="28"/>
        </w:rPr>
        <w:t xml:space="preserve">Project Charter &amp; Engagement Framework</w:t>
      </w:r>
    </w:p>
    <w:p>
      <w:pPr>
        <w:spacing w:after="60" w:before="240"/>
        <w:jc w:val="center"/>
      </w:pPr>
      <w:r>
        <w:rPr>
          <w:rFonts w:ascii="Arial" w:cs="Arial" w:eastAsia="Arial" w:hAnsi="Arial"/>
          <w:b/>
          <w:bCs/>
          <w:color w:val="2E75B6"/>
          <w:sz w:val="24"/>
          <w:szCs w:val="24"/>
        </w:rPr>
        <w:t xml:space="preserve">PCI DSS v4.0 Gap Assessment Engagement</w:t>
      </w:r>
    </w:p>
    <w:p>
      <w:pPr>
        <w:spacing w:after="6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Classification: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0"/>
                <w:szCs w:val="20"/>
              </w:rPr>
              <w:t xml:space="preserve">CONFIDENTIAL – RESTRICTED</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Document Version: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v1.0 – FINAL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Assessment Date: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April 14, 2025 – June 30, 2025</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PCI DSS Assessment &amp; Assurance Practice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Engagement Reference: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WAX-PCI-2025-001</w:t>
            </w:r>
          </w:p>
        </w:tc>
      </w:tr>
    </w:tbl>
    <w:p>
      <w:r>
        <w:br w:type="page"/>
      </w:r>
    </w:p>
    <w:p>
      <w:pPr>
        <w:pStyle w:val="Heading1"/>
        <w:pBdr>
          <w:bottom w:val="single" w:color="2E75B6" w:sz="6" w:space="4"/>
        </w:pBdr>
        <w:spacing w:after="120" w:before="360"/>
      </w:pPr>
      <w:r>
        <w:rPr>
          <w:rFonts w:ascii="Arial" w:cs="Arial" w:eastAsia="Arial" w:hAnsi="Arial"/>
          <w:b/>
          <w:bCs/>
          <w:color w:val="1B3A6B"/>
          <w:sz w:val="36"/>
          <w:szCs w:val="36"/>
        </w:rPr>
        <w:t xml:space="preserve">1. Engagement Overview</w:t>
      </w:r>
    </w:p>
    <w:p>
      <w:pPr>
        <w:spacing w:after="60" w:before="60"/>
      </w:pPr>
      <w:r>
        <w:rPr>
          <w:rFonts w:ascii="Arial" w:cs="Arial" w:eastAsia="Arial" w:hAnsi="Arial"/>
          <w:b w:val="false"/>
          <w:bCs w:val="false"/>
          <w:i w:val="false"/>
          <w:iCs w:val="false"/>
          <w:color w:val="1A1A1A"/>
          <w:sz w:val="22"/>
          <w:szCs w:val="22"/>
        </w:rPr>
        <w:t xml:space="preserve">This Project Charter formally authorizes and defines the scope, objectives, governance framework, and delivery expectations for the PCI DSS v4.0 Gap Assessment engagement conducted for WhaleAX Financial Consulting Services Pvt Ltd (hereinafter "WhaleAX" or "the Client"). This engagement is undertaken by the PCI DSS Assessment &amp; Assurance Practice under Engagement Reference WAX-PCI-2025-001.</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1.1 Engagement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351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Organization</w:t>
            </w:r>
          </w:p>
        </w:tc>
        <w:tc>
          <w:tcPr>
            <w:tcW w:type="dxa" w:w="351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Primary Contact</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Organization</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WhaleAX Financial Consulting Services Pvt Ltd</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Mr. Rajesh Menon, Chief Compliance Officer</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Engagement Lead</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PCI DSS Assessment &amp; Assurance Practice</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QSA / Senior GRC Consultant</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Technical SME</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PCI DSS Assessment &amp; Assurance Practice</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Senior IT Auditor / Infrastructure Analyst</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IT Owner</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WhaleAX IT &amp; Infrastructure</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Ms. Priya Sharma, IT Manager</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Executive Sponsor</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WhaleAX Senior Leadership</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Mr. Anil Kapoor, Managing Director</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1.2 Engagement Objectives</w:t>
      </w:r>
    </w:p>
    <w:p>
      <w:pPr>
        <w:spacing w:after="60" w:before="60"/>
      </w:pPr>
      <w:r>
        <w:rPr>
          <w:rFonts w:ascii="Arial" w:cs="Arial" w:eastAsia="Arial" w:hAnsi="Arial"/>
          <w:b w:val="false"/>
          <w:bCs w:val="false"/>
          <w:i w:val="false"/>
          <w:iCs w:val="false"/>
          <w:color w:val="1A1A1A"/>
          <w:sz w:val="22"/>
          <w:szCs w:val="22"/>
        </w:rPr>
        <w:t xml:space="preserve">The primary objectives of this engagement are:</w:t>
      </w:r>
    </w:p>
    <w:p>
      <w:pPr>
        <w:pStyle w:val="ListParagraph"/>
        <w:numPr>
          <w:ilvl w:val="0"/>
          <w:numId w:val="2"/>
        </w:numPr>
        <w:spacing w:after="40" w:before="40"/>
      </w:pPr>
      <w:r>
        <w:rPr>
          <w:rFonts w:ascii="Arial" w:cs="Arial" w:eastAsia="Arial" w:hAnsi="Arial"/>
          <w:sz w:val="22"/>
          <w:szCs w:val="22"/>
        </w:rPr>
        <w:t xml:space="preserve">Conduct a comprehensive, requirement-by-requirement assessment of WhaleAX's current security controls against PCI DSS v4.0 requirements (Requirements 1–12).</w:t>
      </w:r>
    </w:p>
    <w:p>
      <w:pPr>
        <w:pStyle w:val="ListParagraph"/>
        <w:numPr>
          <w:ilvl w:val="0"/>
          <w:numId w:val="2"/>
        </w:numPr>
        <w:spacing w:after="40" w:before="40"/>
      </w:pPr>
      <w:r>
        <w:rPr>
          <w:rFonts w:ascii="Arial" w:cs="Arial" w:eastAsia="Arial" w:hAnsi="Arial"/>
          <w:sz w:val="22"/>
          <w:szCs w:val="22"/>
        </w:rPr>
        <w:t xml:space="preserve">Identify compliance gaps, control deficiencies, and areas of partial compliance across governance, technical, operational, and procedural domains.</w:t>
      </w:r>
    </w:p>
    <w:p>
      <w:pPr>
        <w:pStyle w:val="ListParagraph"/>
        <w:numPr>
          <w:ilvl w:val="0"/>
          <w:numId w:val="2"/>
        </w:numPr>
        <w:spacing w:after="40" w:before="40"/>
      </w:pPr>
      <w:r>
        <w:rPr>
          <w:rFonts w:ascii="Arial" w:cs="Arial" w:eastAsia="Arial" w:hAnsi="Arial"/>
          <w:sz w:val="22"/>
          <w:szCs w:val="22"/>
        </w:rPr>
        <w:t xml:space="preserve">Establish a clear understanding of the Cardholder Data Environment (CDE) scope, including system components, data flows, and network boundaries.</w:t>
      </w:r>
    </w:p>
    <w:p>
      <w:pPr>
        <w:pStyle w:val="ListParagraph"/>
        <w:numPr>
          <w:ilvl w:val="0"/>
          <w:numId w:val="2"/>
        </w:numPr>
        <w:spacing w:after="40" w:before="40"/>
      </w:pPr>
      <w:r>
        <w:rPr>
          <w:rFonts w:ascii="Arial" w:cs="Arial" w:eastAsia="Arial" w:hAnsi="Arial"/>
          <w:sz w:val="22"/>
          <w:szCs w:val="22"/>
        </w:rPr>
        <w:t xml:space="preserve">Deliver a prioritized remediation roadmap with risk-rated findings, management action plans, and timelines aligned to business priorities.</w:t>
      </w:r>
    </w:p>
    <w:p>
      <w:pPr>
        <w:pStyle w:val="ListParagraph"/>
        <w:numPr>
          <w:ilvl w:val="0"/>
          <w:numId w:val="2"/>
        </w:numPr>
        <w:spacing w:after="40" w:before="40"/>
      </w:pPr>
      <w:r>
        <w:rPr>
          <w:rFonts w:ascii="Arial" w:cs="Arial" w:eastAsia="Arial" w:hAnsi="Arial"/>
          <w:sz w:val="22"/>
          <w:szCs w:val="22"/>
        </w:rPr>
        <w:t xml:space="preserve">Provide executive-level reporting and a compliance readiness scorecard to support management decision-making and resource allocation.</w:t>
      </w:r>
    </w:p>
    <w:p>
      <w:pPr>
        <w:pStyle w:val="ListParagraph"/>
        <w:numPr>
          <w:ilvl w:val="0"/>
          <w:numId w:val="2"/>
        </w:numPr>
        <w:spacing w:after="40" w:before="40"/>
      </w:pPr>
      <w:r>
        <w:rPr>
          <w:rFonts w:ascii="Arial" w:cs="Arial" w:eastAsia="Arial" w:hAnsi="Arial"/>
          <w:sz w:val="22"/>
          <w:szCs w:val="22"/>
        </w:rPr>
        <w:t xml:space="preserve">Prepare WhaleAX for a formal PCI DSS v4.0 certification assessment by a Qualified Security Assessor (QSA) within 12 months.</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2. Scope of Work</w:t>
      </w:r>
    </w:p>
    <w:p>
      <w:pPr>
        <w:pStyle w:val="Heading2"/>
        <w:spacing w:after="80" w:before="240"/>
      </w:pPr>
      <w:r>
        <w:rPr>
          <w:rFonts w:ascii="Arial" w:cs="Arial" w:eastAsia="Arial" w:hAnsi="Arial"/>
          <w:b/>
          <w:bCs/>
          <w:color w:val="2E75B6"/>
          <w:sz w:val="28"/>
          <w:szCs w:val="28"/>
        </w:rPr>
        <w:t xml:space="preserve">2.1 In-Scope Systems and Environments</w:t>
      </w:r>
    </w:p>
    <w:p>
      <w:pPr>
        <w:spacing w:after="60" w:before="60"/>
      </w:pPr>
      <w:r>
        <w:rPr>
          <w:rFonts w:ascii="Arial" w:cs="Arial" w:eastAsia="Arial" w:hAnsi="Arial"/>
          <w:b w:val="false"/>
          <w:bCs w:val="false"/>
          <w:i w:val="false"/>
          <w:iCs w:val="false"/>
          <w:color w:val="1A1A1A"/>
          <w:sz w:val="22"/>
          <w:szCs w:val="22"/>
        </w:rPr>
        <w:t xml:space="preserve">The following systems and environments are within scope for this gap assessment, based on their role in storing, processing, or transmitting cardholder data, or their connectivity to systems that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Asset / System</w:t>
            </w:r>
          </w:p>
        </w:tc>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Environment</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Classification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CDE Role</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Production VPC (us-east-1)</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 – Production</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Environment</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WAX-APP-01 / WAX-APP-02 (Application Servers)</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EC2</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Transaction Processing</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WAX-DB-01 (Transaction Database – RDS PostgreSQL)</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RDS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Storage</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WAX-FW-01 (AWS Network Firewall)</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Managed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 – Connected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Perimeter Security</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WAX-VPN-01 (Site-to-Site VPN Gateway)</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VPN</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 – Connected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Remote Access</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WAX-SIEM-01 (Splunk SIEM Platform)</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EC2</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 Connected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 Aggregation</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WAX-MFA-01 (Okta MFA Platform)</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SaaS – Cloud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 Connected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Authentication</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WAX-LOG-01 (Centralized Logging – CloudWatch)</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Managed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 Connected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 Management</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WAX-VULN-01 (Tenable.io – Vulnerability Mgmt)</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SaaS – Cloud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 Connected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Vulnerability Mgmt</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WAX-IAM-01 (AWS IAM)</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Managed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 Connected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Identity &amp; Access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Analyst Workstations (AW-001 through AW-025)</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On-premise / VPN</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 – Connected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Analyst Operations</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2.2 Out of Scope</w:t>
      </w:r>
    </w:p>
    <w:p>
      <w:pPr>
        <w:spacing w:after="60" w:before="60"/>
      </w:pPr>
      <w:r>
        <w:rPr>
          <w:rFonts w:ascii="Arial" w:cs="Arial" w:eastAsia="Arial" w:hAnsi="Arial"/>
          <w:b w:val="false"/>
          <w:bCs w:val="false"/>
          <w:i w:val="false"/>
          <w:iCs w:val="false"/>
          <w:color w:val="1A1A1A"/>
          <w:sz w:val="22"/>
          <w:szCs w:val="22"/>
        </w:rPr>
        <w:t xml:space="preserve">The following are explicitly excluded from the scope of this assessment:</w:t>
      </w:r>
    </w:p>
    <w:p>
      <w:pPr>
        <w:pStyle w:val="ListParagraph"/>
        <w:numPr>
          <w:ilvl w:val="0"/>
          <w:numId w:val="2"/>
        </w:numPr>
        <w:spacing w:after="40" w:before="40"/>
      </w:pPr>
      <w:r>
        <w:rPr>
          <w:rFonts w:ascii="Arial" w:cs="Arial" w:eastAsia="Arial" w:hAnsi="Arial"/>
          <w:sz w:val="22"/>
          <w:szCs w:val="22"/>
        </w:rPr>
        <w:t xml:space="preserve">Development and staging environments (WAX-DEV, WAX-STG) – No cardholder data present; isolated from production.</w:t>
      </w:r>
    </w:p>
    <w:p>
      <w:pPr>
        <w:pStyle w:val="ListParagraph"/>
        <w:numPr>
          <w:ilvl w:val="0"/>
          <w:numId w:val="2"/>
        </w:numPr>
        <w:spacing w:after="40" w:before="40"/>
      </w:pPr>
      <w:r>
        <w:rPr>
          <w:rFonts w:ascii="Arial" w:cs="Arial" w:eastAsia="Arial" w:hAnsi="Arial"/>
          <w:sz w:val="22"/>
          <w:szCs w:val="22"/>
        </w:rPr>
        <w:t xml:space="preserve">HR and Payroll systems – No interaction with payment data or CDE components.</w:t>
      </w:r>
    </w:p>
    <w:p>
      <w:pPr>
        <w:pStyle w:val="ListParagraph"/>
        <w:numPr>
          <w:ilvl w:val="0"/>
          <w:numId w:val="2"/>
        </w:numPr>
        <w:spacing w:after="40" w:before="40"/>
      </w:pPr>
      <w:r>
        <w:rPr>
          <w:rFonts w:ascii="Arial" w:cs="Arial" w:eastAsia="Arial" w:hAnsi="Arial"/>
          <w:sz w:val="22"/>
          <w:szCs w:val="22"/>
        </w:rPr>
        <w:t xml:space="preserve">Marketing and CRM platforms – No connectivity to CDE; separate network segment.</w:t>
      </w:r>
    </w:p>
    <w:p>
      <w:pPr>
        <w:pStyle w:val="ListParagraph"/>
        <w:numPr>
          <w:ilvl w:val="0"/>
          <w:numId w:val="2"/>
        </w:numPr>
        <w:spacing w:after="40" w:before="40"/>
      </w:pPr>
      <w:r>
        <w:rPr>
          <w:rFonts w:ascii="Arial" w:cs="Arial" w:eastAsia="Arial" w:hAnsi="Arial"/>
          <w:sz w:val="22"/>
          <w:szCs w:val="22"/>
        </w:rPr>
        <w:t xml:space="preserve">Physical security assessments of client premises – Not included in this engagement.</w:t>
      </w:r>
    </w:p>
    <w:p>
      <w:pPr>
        <w:pStyle w:val="ListParagraph"/>
        <w:numPr>
          <w:ilvl w:val="0"/>
          <w:numId w:val="2"/>
        </w:numPr>
        <w:spacing w:after="40" w:before="40"/>
      </w:pPr>
      <w:r>
        <w:rPr>
          <w:rFonts w:ascii="Arial" w:cs="Arial" w:eastAsia="Arial" w:hAnsi="Arial"/>
          <w:sz w:val="22"/>
          <w:szCs w:val="22"/>
        </w:rPr>
        <w:t xml:space="preserve">Third-party assessments of Okta, AWS managed services, and Tenable.io – Covered by third-party risk review documentation only.</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3. Engagement Methodology</w:t>
      </w:r>
    </w:p>
    <w:p>
      <w:pPr>
        <w:pStyle w:val="Heading2"/>
        <w:spacing w:after="80" w:before="240"/>
      </w:pPr>
      <w:r>
        <w:rPr>
          <w:rFonts w:ascii="Arial" w:cs="Arial" w:eastAsia="Arial" w:hAnsi="Arial"/>
          <w:b/>
          <w:bCs/>
          <w:color w:val="2E75B6"/>
          <w:sz w:val="28"/>
          <w:szCs w:val="28"/>
        </w:rPr>
        <w:t xml:space="preserve">3.1 Assessment Approach</w:t>
      </w:r>
    </w:p>
    <w:p>
      <w:pPr>
        <w:spacing w:after="60" w:before="60"/>
      </w:pPr>
      <w:r>
        <w:rPr>
          <w:rFonts w:ascii="Arial" w:cs="Arial" w:eastAsia="Arial" w:hAnsi="Arial"/>
          <w:b w:val="false"/>
          <w:bCs w:val="false"/>
          <w:i w:val="false"/>
          <w:iCs w:val="false"/>
          <w:color w:val="1A1A1A"/>
          <w:sz w:val="22"/>
          <w:szCs w:val="22"/>
        </w:rPr>
        <w:t xml:space="preserve">This gap assessment follows a structured, evidence-based methodology aligned with PCI DSS v4.0 Assessment Procedures, NIST SP 800-53, and industry-standard IT audit practices. The methodology consists of five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4680"/>
        <w:gridCol w:w="936"/>
      </w:tblGrid>
      <w:tr>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Activity</w:t>
            </w:r>
          </w:p>
        </w:tc>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Initiation &amp; Scoping</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Kickoff meeting, stakeholder interviews, scope confirmation, asset inventory validation, cardholder data flow mapping.</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 Weeks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Evidence Collection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Submission of evidence request list to client, review of policies, procedures, configurations, logs, and technical documentation.</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 Weeks</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Control Assessment</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Requirement-by-requirement evaluation against PCI DSS v4.0 controls; walkthroughs, technical testing, and control interviews.</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 Weeks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Findings Development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Gap analysis, risk rating, findings documentation, compensating control evaluation, and draft report preparation.</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 Weeks</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Reporting &amp; Remediation</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Executive summary, final report delivery, remediation roadmap, management action plan, and presentation to leadership.</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 Week</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3.2 Testing Methods</w:t>
      </w:r>
    </w:p>
    <w:p>
      <w:pPr>
        <w:spacing w:after="60" w:before="60"/>
      </w:pPr>
      <w:r>
        <w:rPr>
          <w:rFonts w:ascii="Arial" w:cs="Arial" w:eastAsia="Arial" w:hAnsi="Arial"/>
          <w:b w:val="false"/>
          <w:bCs w:val="false"/>
          <w:i w:val="false"/>
          <w:iCs w:val="false"/>
          <w:color w:val="1A1A1A"/>
          <w:sz w:val="22"/>
          <w:szCs w:val="22"/>
        </w:rPr>
        <w:t xml:space="preserve">Control testing is performed using four standard PCI DSS assessment methods:</w:t>
      </w:r>
    </w:p>
    <w:p>
      <w:pPr>
        <w:pStyle w:val="ListParagraph"/>
        <w:numPr>
          <w:ilvl w:val="0"/>
          <w:numId w:val="2"/>
        </w:numPr>
        <w:spacing w:after="40" w:before="40"/>
      </w:pPr>
      <w:r>
        <w:rPr>
          <w:rFonts w:ascii="Arial" w:cs="Arial" w:eastAsia="Arial" w:hAnsi="Arial"/>
          <w:sz w:val="22"/>
          <w:szCs w:val="22"/>
        </w:rPr>
        <w:t xml:space="preserve">Examine: Review of policies, procedures, system configurations, log samples, and documentation.</w:t>
      </w:r>
    </w:p>
    <w:p>
      <w:pPr>
        <w:pStyle w:val="ListParagraph"/>
        <w:numPr>
          <w:ilvl w:val="0"/>
          <w:numId w:val="2"/>
        </w:numPr>
        <w:spacing w:after="40" w:before="40"/>
      </w:pPr>
      <w:r>
        <w:rPr>
          <w:rFonts w:ascii="Arial" w:cs="Arial" w:eastAsia="Arial" w:hAnsi="Arial"/>
          <w:sz w:val="22"/>
          <w:szCs w:val="22"/>
        </w:rPr>
        <w:t xml:space="preserve">Interview: Structured interviews with system owners, process owners, IT administrators, and management.</w:t>
      </w:r>
    </w:p>
    <w:p>
      <w:pPr>
        <w:pStyle w:val="ListParagraph"/>
        <w:numPr>
          <w:ilvl w:val="0"/>
          <w:numId w:val="2"/>
        </w:numPr>
        <w:spacing w:after="40" w:before="40"/>
      </w:pPr>
      <w:r>
        <w:rPr>
          <w:rFonts w:ascii="Arial" w:cs="Arial" w:eastAsia="Arial" w:hAnsi="Arial"/>
          <w:sz w:val="22"/>
          <w:szCs w:val="22"/>
        </w:rPr>
        <w:t xml:space="preserve">Observe: Direct observation of processes, system demonstrations, and operational procedures.</w:t>
      </w:r>
    </w:p>
    <w:p>
      <w:pPr>
        <w:pStyle w:val="ListParagraph"/>
        <w:numPr>
          <w:ilvl w:val="0"/>
          <w:numId w:val="2"/>
        </w:numPr>
        <w:spacing w:after="40" w:before="40"/>
      </w:pPr>
      <w:r>
        <w:rPr>
          <w:rFonts w:ascii="Arial" w:cs="Arial" w:eastAsia="Arial" w:hAnsi="Arial"/>
          <w:sz w:val="22"/>
          <w:szCs w:val="22"/>
        </w:rPr>
        <w:t xml:space="preserve">Test: Technical testing including vulnerability scans, configuration reviews, and network architecture validation.</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3276"/>
        <w:gridCol w:w="1872"/>
      </w:tblGrid>
      <w:tr>
        <w:tc>
          <w:tcPr>
            <w:tcW w:type="dxa" w:w="421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327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 Date</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Project Charter</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Engagement scope, governance, and objectives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Apr 14,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Company Profile &amp; CDE Scope Definition</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Organizational context and CDE boundary</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Apr 21,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Cardholder Data Flow Diagram</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mapping of CHD flows across systems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Apr 28,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Network Architecture Diagram</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 network topology and segmentation</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Apr 28,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Asset Inventory &amp; Data Classification Matrix</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In-scope systems, data types, classification</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May 5,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PCI DSS Applicability Matrix</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applicability per system/process</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May 5,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Evidence Request List &amp; Evidence Tracker</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Formal ERL and tracking workbook</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May 5,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Gap Assessment Workbook</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Detailed control testing results (all 12 Req)</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2,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Detailed Findings Register</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findings with risk ratings and evidence</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9,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 Register &amp; Risk Assessment Report</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Risk-based analysis and prioritization</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16,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Remediation Roadmap &amp; Management Action Plan</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Prioritized remediation plan with timelines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16,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Executive Summary Report</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C-Suite summary of findings and posture</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23,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Final PCI DSS Gap Assessment Report</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 consolidated assessment report</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23,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Audit Presentation Deck</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PowerPoint for stakeholder presentation</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30, 2025</w:t>
            </w:r>
          </w:p>
        </w:tc>
      </w:tr>
      <w:tr>
        <w:tc>
          <w:tcPr>
            <w:tcW w:type="dxa" w:w="421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Compliance Metrics Dashboard &amp; Scorecard</w:t>
            </w:r>
          </w:p>
        </w:tc>
        <w:tc>
          <w:tcPr>
            <w:tcW w:type="dxa" w:w="327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compliance posture dashboard</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30, 2025</w:t>
            </w:r>
          </w:p>
        </w:tc>
      </w:tr>
      <w:tr>
        <w:tc>
          <w:tcPr>
            <w:tcW w:type="dxa" w:w="421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Thematic Review Documents (6 reviews)</w:t>
            </w:r>
          </w:p>
        </w:tc>
        <w:tc>
          <w:tcPr>
            <w:tcW w:type="dxa" w:w="327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 firewall, logging, vuln, config, TP</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Jun 23, 2025</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5. Governance &amp; Escalation</w:t>
      </w:r>
    </w:p>
    <w:p>
      <w:pPr>
        <w:pStyle w:val="Heading2"/>
        <w:spacing w:after="80" w:before="240"/>
      </w:pPr>
      <w:r>
        <w:rPr>
          <w:rFonts w:ascii="Arial" w:cs="Arial" w:eastAsia="Arial" w:hAnsi="Arial"/>
          <w:b/>
          <w:bCs/>
          <w:color w:val="2E75B6"/>
          <w:sz w:val="28"/>
          <w:szCs w:val="28"/>
        </w:rPr>
        <w:t xml:space="preserve">5.1 Communication Plan</w:t>
      </w:r>
    </w:p>
    <w:p>
      <w:pPr>
        <w:pStyle w:val="ListParagraph"/>
        <w:numPr>
          <w:ilvl w:val="0"/>
          <w:numId w:val="2"/>
        </w:numPr>
        <w:spacing w:after="40" w:before="40"/>
      </w:pPr>
      <w:r>
        <w:rPr>
          <w:rFonts w:ascii="Arial" w:cs="Arial" w:eastAsia="Arial" w:hAnsi="Arial"/>
          <w:sz w:val="22"/>
          <w:szCs w:val="22"/>
        </w:rPr>
        <w:t xml:space="preserve">Weekly status calls: Every Tuesday, 11:00 AM IST – Engagement Lead + Client IT Manager.</w:t>
      </w:r>
    </w:p>
    <w:p>
      <w:pPr>
        <w:pStyle w:val="ListParagraph"/>
        <w:numPr>
          <w:ilvl w:val="0"/>
          <w:numId w:val="2"/>
        </w:numPr>
        <w:spacing w:after="40" w:before="40"/>
      </w:pPr>
      <w:r>
        <w:rPr>
          <w:rFonts w:ascii="Arial" w:cs="Arial" w:eastAsia="Arial" w:hAnsi="Arial"/>
          <w:sz w:val="22"/>
          <w:szCs w:val="22"/>
        </w:rPr>
        <w:t xml:space="preserve">Bi-weekly steering: Every other Thursday, 3:00 PM IST – Engagement Lead + CCO + Executive Sponsor.</w:t>
      </w:r>
    </w:p>
    <w:p>
      <w:pPr>
        <w:pStyle w:val="ListParagraph"/>
        <w:numPr>
          <w:ilvl w:val="0"/>
          <w:numId w:val="2"/>
        </w:numPr>
        <w:spacing w:after="40" w:before="40"/>
      </w:pPr>
      <w:r>
        <w:rPr>
          <w:rFonts w:ascii="Arial" w:cs="Arial" w:eastAsia="Arial" w:hAnsi="Arial"/>
          <w:sz w:val="22"/>
          <w:szCs w:val="22"/>
        </w:rPr>
        <w:t xml:space="preserve">Ad-hoc escalation: Critical findings or blockers escalated within 24 hours via email and call.</w:t>
      </w:r>
    </w:p>
    <w:p>
      <w:pPr>
        <w:pStyle w:val="ListParagraph"/>
        <w:numPr>
          <w:ilvl w:val="0"/>
          <w:numId w:val="2"/>
        </w:numPr>
        <w:spacing w:after="40" w:before="40"/>
      </w:pPr>
      <w:r>
        <w:rPr>
          <w:rFonts w:ascii="Arial" w:cs="Arial" w:eastAsia="Arial" w:hAnsi="Arial"/>
          <w:sz w:val="22"/>
          <w:szCs w:val="22"/>
        </w:rPr>
        <w:t xml:space="preserve">Document submissions: Shared via encrypted document management portal (reference: WAX-Portal-2025).</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5.2 Assumptions &amp; Constraints</w:t>
      </w:r>
    </w:p>
    <w:p>
      <w:pPr>
        <w:pStyle w:val="ListParagraph"/>
        <w:numPr>
          <w:ilvl w:val="0"/>
          <w:numId w:val="2"/>
        </w:numPr>
        <w:spacing w:after="40" w:before="40"/>
      </w:pPr>
      <w:r>
        <w:rPr>
          <w:rFonts w:ascii="Arial" w:cs="Arial" w:eastAsia="Arial" w:hAnsi="Arial"/>
          <w:sz w:val="22"/>
          <w:szCs w:val="22"/>
        </w:rPr>
        <w:t xml:space="preserve">WhaleAX will provide timely access to requested evidence, systems, and personnel within 5 business days of request.</w:t>
      </w:r>
    </w:p>
    <w:p>
      <w:pPr>
        <w:pStyle w:val="ListParagraph"/>
        <w:numPr>
          <w:ilvl w:val="0"/>
          <w:numId w:val="2"/>
        </w:numPr>
        <w:spacing w:after="40" w:before="40"/>
      </w:pPr>
      <w:r>
        <w:rPr>
          <w:rFonts w:ascii="Arial" w:cs="Arial" w:eastAsia="Arial" w:hAnsi="Arial"/>
          <w:sz w:val="22"/>
          <w:szCs w:val="22"/>
        </w:rPr>
        <w:t xml:space="preserve">All evidence submitted is assumed to be authentic and representative of the production environment.</w:t>
      </w:r>
    </w:p>
    <w:p>
      <w:pPr>
        <w:pStyle w:val="ListParagraph"/>
        <w:numPr>
          <w:ilvl w:val="0"/>
          <w:numId w:val="2"/>
        </w:numPr>
        <w:spacing w:after="40" w:before="40"/>
      </w:pPr>
      <w:r>
        <w:rPr>
          <w:rFonts w:ascii="Arial" w:cs="Arial" w:eastAsia="Arial" w:hAnsi="Arial"/>
          <w:sz w:val="22"/>
          <w:szCs w:val="22"/>
        </w:rPr>
        <w:t xml:space="preserve">Assessment is a point-in-time evaluation; controls may change after the assessment period ends.</w:t>
      </w:r>
    </w:p>
    <w:p>
      <w:pPr>
        <w:pStyle w:val="ListParagraph"/>
        <w:numPr>
          <w:ilvl w:val="0"/>
          <w:numId w:val="2"/>
        </w:numPr>
        <w:spacing w:after="40" w:before="40"/>
      </w:pPr>
      <w:r>
        <w:rPr>
          <w:rFonts w:ascii="Arial" w:cs="Arial" w:eastAsia="Arial" w:hAnsi="Arial"/>
          <w:sz w:val="22"/>
          <w:szCs w:val="22"/>
        </w:rPr>
        <w:t xml:space="preserve">This assessment does not constitute a formal PCI DSS Report on Compliance (ROC) or Attestation of Compliance (AOC).</w:t>
      </w:r>
    </w:p>
    <w:p>
      <w:pPr>
        <w:pStyle w:val="ListParagraph"/>
        <w:numPr>
          <w:ilvl w:val="0"/>
          <w:numId w:val="2"/>
        </w:numPr>
        <w:spacing w:after="40" w:before="40"/>
      </w:pPr>
      <w:r>
        <w:rPr>
          <w:rFonts w:ascii="Arial" w:cs="Arial" w:eastAsia="Arial" w:hAnsi="Arial"/>
          <w:sz w:val="22"/>
          <w:szCs w:val="22"/>
        </w:rPr>
        <w:t xml:space="preserve">Network penetration testing is out of scope unless separately contracted.</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5.3 Risk &amp; Issue Management</w:t>
      </w:r>
    </w:p>
    <w:p>
      <w:pPr>
        <w:spacing w:after="60" w:before="60"/>
      </w:pPr>
      <w:r>
        <w:rPr>
          <w:rFonts w:ascii="Arial" w:cs="Arial" w:eastAsia="Arial" w:hAnsi="Arial"/>
          <w:b w:val="false"/>
          <w:bCs w:val="false"/>
          <w:i w:val="false"/>
          <w:iCs w:val="false"/>
          <w:color w:val="1A1A1A"/>
          <w:sz w:val="22"/>
          <w:szCs w:val="22"/>
        </w:rPr>
        <w:t xml:space="preserve">Issues and risks identified during the engagement will be logged in a shared risk log and reviewed at each weekly status call. Material issues that may impact the engagement timeline, scope, or accuracy of findings will be escalated to the Executive Sponsor within 24 hours.</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6. Authorization &amp; Sign-Off</w:t>
      </w:r>
    </w:p>
    <w:p>
      <w:pPr>
        <w:spacing w:after="60" w:before="60"/>
      </w:pPr>
      <w:r>
        <w:rPr>
          <w:rFonts w:ascii="Arial" w:cs="Arial" w:eastAsia="Arial" w:hAnsi="Arial"/>
          <w:b w:val="false"/>
          <w:bCs w:val="false"/>
          <w:i w:val="false"/>
          <w:iCs w:val="false"/>
          <w:color w:val="1A1A1A"/>
          <w:sz w:val="22"/>
          <w:szCs w:val="22"/>
        </w:rPr>
        <w:t xml:space="preserve">By proceeding with this engagement, all parties acknowledge acceptance of the terms defined in this Project Charter.</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Client Authorization</w:t>
            </w:r>
          </w:p>
        </w:tc>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Assessor Authorization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200"/>
              <w:right w:type="dxa" w:w="120"/>
            </w:tcMar>
          </w:tcPr>
          <w:p>
            <w:r>
              <w:rPr>
                <w:rFonts w:ascii="Arial" w:cs="Arial" w:eastAsia="Arial" w:hAnsi="Arial"/>
                <w:sz w:val="22"/>
                <w:szCs w:val="22"/>
              </w:rPr>
              <w:t xml:space="preserve">Name: Mr. Anil Kapoor</w:t>
            </w:r>
          </w:p>
          <w:p>
            <w:r>
              <w:rPr>
                <w:rFonts w:ascii="Arial" w:cs="Arial" w:eastAsia="Arial" w:hAnsi="Arial"/>
                <w:sz w:val="22"/>
                <w:szCs w:val="22"/>
              </w:rPr>
              <w:t xml:space="preserve">Title: Managing Director, WhaleAX Financial</w:t>
            </w:r>
          </w:p>
          <w:p>
            <w:pPr>
              <w:spacing w:after="60" w:before="120"/>
            </w:pPr>
            <w:r>
              <w:t xml:space="preserve"/>
            </w:r>
          </w:p>
          <w:p>
            <w:r>
              <w:rPr>
                <w:rFonts w:ascii="Arial" w:cs="Arial" w:eastAsia="Arial" w:hAnsi="Arial"/>
                <w:sz w:val="22"/>
                <w:szCs w:val="22"/>
              </w:rPr>
              <w:t xml:space="preserve">Signature: _________________________</w:t>
            </w:r>
          </w:p>
          <w:p>
            <w:r>
              <w:rPr>
                <w:rFonts w:ascii="Arial" w:cs="Arial" w:eastAsia="Arial" w:hAnsi="Arial"/>
                <w:sz w:val="22"/>
                <w:szCs w:val="22"/>
              </w:rPr>
              <w:t xml:space="preserve">Date: 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200"/>
              <w:right w:type="dxa" w:w="120"/>
            </w:tcMar>
          </w:tcPr>
          <w:p>
            <w:r>
              <w:rPr>
                <w:rFonts w:ascii="Arial" w:cs="Arial" w:eastAsia="Arial" w:hAnsi="Arial"/>
                <w:sz w:val="22"/>
                <w:szCs w:val="22"/>
              </w:rPr>
              <w:t xml:space="preserve">Name: Lead QSA / Senior GRC Consultant</w:t>
            </w:r>
          </w:p>
          <w:p>
            <w:r>
              <w:rPr>
                <w:rFonts w:ascii="Arial" w:cs="Arial" w:eastAsia="Arial" w:hAnsi="Arial"/>
                <w:sz w:val="22"/>
                <w:szCs w:val="22"/>
              </w:rPr>
              <w:t xml:space="preserve">Title: PCI DSS Assessment &amp; Assurance Practice</w:t>
            </w:r>
          </w:p>
          <w:p>
            <w:pPr>
              <w:spacing w:after="60" w:before="120"/>
            </w:pPr>
            <w:r>
              <w:t xml:space="preserve"/>
            </w:r>
          </w:p>
          <w:p>
            <w:r>
              <w:rPr>
                <w:rFonts w:ascii="Arial" w:cs="Arial" w:eastAsia="Arial" w:hAnsi="Arial"/>
                <w:sz w:val="22"/>
                <w:szCs w:val="22"/>
              </w:rPr>
              <w:t xml:space="preserve">Signature: _________________________</w:t>
            </w:r>
          </w:p>
          <w:p>
            <w:r>
              <w:rPr>
                <w:rFonts w:ascii="Arial" w:cs="Arial" w:eastAsia="Arial" w:hAnsi="Arial"/>
                <w:sz w:val="22"/>
                <w:szCs w:val="22"/>
              </w:rPr>
              <w:t xml:space="preserve">Date: _______________________________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6"/>
        <w:szCs w:val="16"/>
      </w:rPr>
      <w:t xml:space="preserve">PCI DSS v4.0 Gap Assessment  |  Engagement Ref: WAX-PCI-2025-001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595959"/>
        <w:sz w:val="18"/>
        <w:szCs w:val="18"/>
      </w:rPr>
      <w:t xml:space="preserve">CONFIDENTIAL | WhaleAX Financial Consulting Services Pvt Ltd</w:t>
    </w:r>
    <w:r>
      <w:rPr>
        <w:rFonts w:ascii="Arial" w:cs="Arial" w:eastAsia="Arial" w:hAnsi="Arial"/>
        <w:color w:val="2E75B6"/>
        <w:sz w:val="18"/>
        <w:szCs w:val="18"/>
      </w:rPr>
      <w:t xml:space="preserve">   |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2026-05-30T05:00:08.843Z</dcterms:created>
  <dcterms:modified xsi:type="dcterms:W3CDTF">2026-05-30T05:00:08.854Z</dcterms:modified>
</cp:coreProperties>
</file>

<file path=docProps/custom.xml><?xml version="1.0" encoding="utf-8"?>
<Properties xmlns="http://schemas.openxmlformats.org/officeDocument/2006/custom-properties" xmlns:vt="http://schemas.openxmlformats.org/officeDocument/2006/docPropsVTypes"/>
</file>