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Remediation Roadmap</w:t>
      </w:r>
    </w:p>
    <w:p>
      <w:pPr>
        <w:spacing w:after="480" w:before="120"/>
        <w:jc w:val="center"/>
      </w:pPr>
      <w:r>
        <w:rPr>
          <w:rFonts w:ascii="Arial" w:cs="Arial" w:eastAsia="Arial" w:hAnsi="Arial"/>
          <w:b w:val="false"/>
          <w:bCs w:val="false"/>
          <w:color w:val="595959"/>
          <w:sz w:val="28"/>
          <w:szCs w:val="28"/>
        </w:rPr>
        <w:t xml:space="preserve">Management Action Plan – PCI DSS v4.0</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MANAGEMENT USE ONLY</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June 23,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1. Remediation Roadmap Overview</w:t>
      </w:r>
    </w:p>
    <w:p>
      <w:pPr>
        <w:spacing w:after="60" w:before="60"/>
      </w:pPr>
      <w:r>
        <w:rPr>
          <w:rFonts w:ascii="Arial" w:cs="Arial" w:eastAsia="Arial" w:hAnsi="Arial"/>
          <w:b w:val="false"/>
          <w:bCs w:val="false"/>
          <w:i w:val="false"/>
          <w:iCs w:val="false"/>
          <w:color w:val="1A1A1A"/>
          <w:sz w:val="22"/>
          <w:szCs w:val="22"/>
        </w:rPr>
        <w:t xml:space="preserve">This Remediation Roadmap and Management Action Plan (MAP) provides a structured, risk-prioritized schedule for remediating all 34 findings identified in the WhaleAX PCI DSS v4.0 Gap Assessment. Remediation activities are organized into four priority tiers aligned with risk ratings and PCI DSS compliance timelines.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1.1 Remediation Priority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1872"/>
        <w:gridCol w:w="2340"/>
        <w:gridCol w:w="1872"/>
      </w:tblGrid>
      <w:tr>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Timeline</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Escalation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P1 – Critical</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30 Days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Managing Director</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P2 – High</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 – 90 Days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P3 – Medium</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91 – 180 Days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Owner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P4 – Low</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181 – 365 Days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Owner</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Owner</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2. Management Action Plan – Full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340"/>
        <w:gridCol w:w="1404"/>
        <w:gridCol w:w="1170"/>
        <w:gridCol w:w="1170"/>
        <w:gridCol w:w="1170"/>
        <w:gridCol w:w="1482"/>
      </w:tblGrid>
      <w:tr>
        <w:tc>
          <w:tcPr>
            <w:tcW w:type="dxa" w:w="62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Remediation Action</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Req</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 Date</w:t>
            </w:r>
          </w:p>
        </w:tc>
        <w:tc>
          <w:tcPr>
            <w:tcW w:type="dxa" w:w="148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Success Criteria</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MAP-001</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Apply emergency patches for CVE-2024-21413, CVE-2024-38077, CVE-2024-47176 on WAX-APP-01 and WAX-APP-02</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6.3.3</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14,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critical CVEs &gt;30 days overdue on production systems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Deploy AWS WAF in front of WAX-APP-01 and WAX-APP-02 as interim compensating control</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6.3.3</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7,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WAF active and logging for all production app traffic</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MAP-003</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Revoke DBA privileges from 4 non-DBA analyst accounts immediately</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7.2.1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5,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 non-DBA accounts holding DBA-level DB privileges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Reset and individualize all service account credentials; eliminate shared passwords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8.2.2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14,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service accounts have unique, individually managed credentials</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MAP-005</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 Q4 2024 and Q1 2025 firewall rule reviews retroactively; document and sign off</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28,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Completed review documentation with sign-off for both quarters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MAP-006</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formal log retention policy extending SIEM retention to 12 months minimum</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10.5.1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SIEM configured to retain logs for minimum 12 months</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MAP-007</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Formalize daily log review procedure with documented evidence requirements</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10.4.1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30,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Documented SOP with evidence of daily log review for 30 consecutive days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MAP-008</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vulnerability remediation ageing report and tracking dashboard in Tenable.io</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11.3.1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30,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Ageing report in place; all critical vulns tracked with owner and date</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MAP-009</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Apply CIS Benchmark Level 1 hardening to WAX-APP-01, WAX-APP-02, WAX-DB-01</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Sep 30,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CIS-CAT scan results showing &gt;90% compliance on all three systems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Conduct formal network segmentation penetration test (CDE isolation validation)</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Sep 14,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Penetration test report confirming CDE isolation; no unauthorized paths</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MAP-011</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Establish formal Third-Party Risk Management program with vendor questionnaires</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12.8.3</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CCO</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Oct 14,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TPRM policy and completed assessments for AWS, Okta, Tenable.io</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Conduct quarterly access recertification review for all 25 analyst accounts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7.2.1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Completed recertification records with manager sign-off for all accounts</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MAP-013</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Develop and implement formal firewall rule review SOP with quarterly calendar</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Approved SOP document and Q2 2025 review completion evidence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automated patch management via AWS Systems Manager Patch Manager</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6.3.3</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Oct 30,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Patch Manager active with automated baseline deployment on all CDE systems</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MAP-015</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Document and test Incident Response Plan (IRP) with tabletop exercise</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12.10.1</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CCO</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Nov 15,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Updated IRP with tabletop exercise completion report and lessons learned</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MAP-016</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formal security awareness training program with annual completion tracking</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12.6.1</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CCO</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Nov 1,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Training platform deployed; 100% of staff completed annual training</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MAP-017</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and update change management procedures to require evidence for all CDE changes</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6.5.1</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Oct 14,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Updated change management SOP; all CDE changes have approved tickets</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MAP-018</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Privileged Access Management (PAM) solution for service accounts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8.2.2</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Nov 30,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PAM solution operational; all service accounts managed through PAM vault</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MAP-019</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Formalize physical access log review procedures for analyst workstation areas</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9.4.2</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Low</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Dec 1, 2025</w:t>
            </w:r>
          </w:p>
        </w:tc>
        <w:tc>
          <w:tcPr>
            <w:tcW w:type="dxa" w:w="148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Documented physical access review SOP with monthly review evidence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MAP-020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 AWS Config conformance packs for ongoing CIS benchmark monitoring</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Low</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Manager</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Dec 15, 2025</w:t>
            </w:r>
          </w:p>
        </w:tc>
        <w:tc>
          <w:tcPr>
            <w:tcW w:type="dxa" w:w="148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Config conformance pack active; dashboard showing real-time compliance status</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3. Remediation Timeline – Phased Schedule</w:t>
      </w:r>
    </w:p>
    <w:p>
      <w:pPr>
        <w:pStyle w:val="Heading2"/>
        <w:spacing w:after="80" w:before="240"/>
      </w:pPr>
      <w:r>
        <w:rPr>
          <w:rFonts w:ascii="Arial" w:cs="Arial" w:eastAsia="Arial" w:hAnsi="Arial"/>
          <w:b/>
          <w:bCs/>
          <w:color w:val="2E75B6"/>
          <w:sz w:val="28"/>
          <w:szCs w:val="28"/>
        </w:rPr>
        <w:t xml:space="preserve">Phase 1: Immediate Actions (0–30 Days) – July 2025</w:t>
      </w:r>
    </w:p>
    <w:p>
      <w:pPr>
        <w:pStyle w:val="ListParagraph"/>
        <w:numPr>
          <w:ilvl w:val="0"/>
          <w:numId w:val="2"/>
        </w:numPr>
        <w:spacing w:after="40" w:before="40"/>
      </w:pPr>
      <w:r>
        <w:rPr>
          <w:rFonts w:ascii="Arial" w:cs="Arial" w:eastAsia="Arial" w:hAnsi="Arial"/>
          <w:sz w:val="22"/>
          <w:szCs w:val="22"/>
        </w:rPr>
        <w:t xml:space="preserve">MAP-001: Emergency patching of critical CVEs on production app servers</w:t>
      </w:r>
    </w:p>
    <w:p>
      <w:pPr>
        <w:pStyle w:val="ListParagraph"/>
        <w:numPr>
          <w:ilvl w:val="0"/>
          <w:numId w:val="2"/>
        </w:numPr>
        <w:spacing w:after="40" w:before="40"/>
      </w:pPr>
      <w:r>
        <w:rPr>
          <w:rFonts w:ascii="Arial" w:cs="Arial" w:eastAsia="Arial" w:hAnsi="Arial"/>
          <w:sz w:val="22"/>
          <w:szCs w:val="22"/>
        </w:rPr>
        <w:t xml:space="preserve">MAP-002: Deploy AWS WAF as interim compensating control</w:t>
      </w:r>
    </w:p>
    <w:p>
      <w:pPr>
        <w:pStyle w:val="ListParagraph"/>
        <w:numPr>
          <w:ilvl w:val="0"/>
          <w:numId w:val="2"/>
        </w:numPr>
        <w:spacing w:after="40" w:before="40"/>
      </w:pPr>
      <w:r>
        <w:rPr>
          <w:rFonts w:ascii="Arial" w:cs="Arial" w:eastAsia="Arial" w:hAnsi="Arial"/>
          <w:sz w:val="22"/>
          <w:szCs w:val="22"/>
        </w:rPr>
        <w:t xml:space="preserve">MAP-003: Revoke excessive DBA privileges from analyst accounts</w:t>
      </w:r>
    </w:p>
    <w:p>
      <w:pPr>
        <w:pStyle w:val="ListParagraph"/>
        <w:numPr>
          <w:ilvl w:val="0"/>
          <w:numId w:val="2"/>
        </w:numPr>
        <w:spacing w:after="40" w:before="40"/>
      </w:pPr>
      <w:r>
        <w:rPr>
          <w:rFonts w:ascii="Arial" w:cs="Arial" w:eastAsia="Arial" w:hAnsi="Arial"/>
          <w:sz w:val="22"/>
          <w:szCs w:val="22"/>
        </w:rPr>
        <w:t xml:space="preserve">MAP-004: Reset and individualize all service account credentials</w:t>
      </w:r>
    </w:p>
    <w:p>
      <w:pPr>
        <w:pStyle w:val="ListParagraph"/>
        <w:numPr>
          <w:ilvl w:val="0"/>
          <w:numId w:val="2"/>
        </w:numPr>
        <w:spacing w:after="40" w:before="40"/>
      </w:pPr>
      <w:r>
        <w:rPr>
          <w:rFonts w:ascii="Arial" w:cs="Arial" w:eastAsia="Arial" w:hAnsi="Arial"/>
          <w:sz w:val="22"/>
          <w:szCs w:val="22"/>
        </w:rPr>
        <w:t xml:space="preserve">MAP-005: Complete retroactive firewall rule reviews for Q4 2024 and Q1 2025</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Phase 2: Short-Term Remediation (31–90 Days) – August–September 2025</w:t>
      </w:r>
    </w:p>
    <w:p>
      <w:pPr>
        <w:pStyle w:val="ListParagraph"/>
        <w:numPr>
          <w:ilvl w:val="0"/>
          <w:numId w:val="2"/>
        </w:numPr>
        <w:spacing w:after="40" w:before="40"/>
      </w:pPr>
      <w:r>
        <w:rPr>
          <w:rFonts w:ascii="Arial" w:cs="Arial" w:eastAsia="Arial" w:hAnsi="Arial"/>
          <w:sz w:val="22"/>
          <w:szCs w:val="22"/>
        </w:rPr>
        <w:t xml:space="preserve">MAP-006 through MAP-013: Log retention, log review procedures, vulnerability tracking, CIS hardening, segmentation testing, TPRM program, access recertification, firewall SOP</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Phase 3: Medium-Term Remediation (91–180 Days) – October–November 2025</w:t>
      </w:r>
    </w:p>
    <w:p>
      <w:pPr>
        <w:pStyle w:val="ListParagraph"/>
        <w:numPr>
          <w:ilvl w:val="0"/>
          <w:numId w:val="2"/>
        </w:numPr>
        <w:spacing w:after="40" w:before="40"/>
      </w:pPr>
      <w:r>
        <w:rPr>
          <w:rFonts w:ascii="Arial" w:cs="Arial" w:eastAsia="Arial" w:hAnsi="Arial"/>
          <w:sz w:val="22"/>
          <w:szCs w:val="22"/>
        </w:rPr>
        <w:t xml:space="preserve">MAP-014 through MAP-018: Automated patch management, incident response testing, security awareness training, change management improvements, PAM solution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Phase 4: Long-Term Remediation (181–365 Days) – December 2025–June 2026</w:t>
      </w:r>
    </w:p>
    <w:p>
      <w:pPr>
        <w:pStyle w:val="ListParagraph"/>
        <w:numPr>
          <w:ilvl w:val="0"/>
          <w:numId w:val="2"/>
        </w:numPr>
        <w:spacing w:after="40" w:before="40"/>
      </w:pPr>
      <w:r>
        <w:rPr>
          <w:rFonts w:ascii="Arial" w:cs="Arial" w:eastAsia="Arial" w:hAnsi="Arial"/>
          <w:sz w:val="22"/>
          <w:szCs w:val="22"/>
        </w:rPr>
        <w:t xml:space="preserve">MAP-019 through MAP-020: Physical access procedures, AWS Config continuous monitoring</w:t>
      </w:r>
    </w:p>
    <w:p>
      <w:pPr>
        <w:pStyle w:val="ListParagraph"/>
        <w:numPr>
          <w:ilvl w:val="0"/>
          <w:numId w:val="2"/>
        </w:numPr>
        <w:spacing w:after="40" w:before="40"/>
      </w:pPr>
      <w:r>
        <w:rPr>
          <w:rFonts w:ascii="Arial" w:cs="Arial" w:eastAsia="Arial" w:hAnsi="Arial"/>
          <w:sz w:val="22"/>
          <w:szCs w:val="22"/>
        </w:rPr>
        <w:t xml:space="preserve">Engage QSA for formal PCI DSS v4.0 ROC assessment upon completion of all remediation activities</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4. Progress Tracking &amp; Governance</w:t>
      </w:r>
    </w:p>
    <w:p>
      <w:pPr>
        <w:spacing w:after="60" w:before="60"/>
      </w:pPr>
      <w:r>
        <w:rPr>
          <w:rFonts w:ascii="Arial" w:cs="Arial" w:eastAsia="Arial" w:hAnsi="Arial"/>
          <w:b w:val="false"/>
          <w:bCs w:val="false"/>
          <w:i w:val="false"/>
          <w:iCs w:val="false"/>
          <w:color w:val="1A1A1A"/>
          <w:sz w:val="22"/>
          <w:szCs w:val="22"/>
        </w:rPr>
        <w:t xml:space="preserve">Remediation progress will be reviewed at bi-weekly steering committee meetings between the IT Manager, Chief Compliance Officer, and Assessment Lead. Each MAP item requires:</w:t>
      </w:r>
    </w:p>
    <w:p>
      <w:pPr>
        <w:pStyle w:val="ListParagraph"/>
        <w:numPr>
          <w:ilvl w:val="0"/>
          <w:numId w:val="2"/>
        </w:numPr>
        <w:spacing w:after="40" w:before="40"/>
      </w:pPr>
      <w:r>
        <w:rPr>
          <w:rFonts w:ascii="Arial" w:cs="Arial" w:eastAsia="Arial" w:hAnsi="Arial"/>
          <w:sz w:val="22"/>
          <w:szCs w:val="22"/>
        </w:rPr>
        <w:t xml:space="preserve">Documented evidence of completion (configuration exports, policy documents, test results, screenshots)</w:t>
      </w:r>
    </w:p>
    <w:p>
      <w:pPr>
        <w:pStyle w:val="ListParagraph"/>
        <w:numPr>
          <w:ilvl w:val="0"/>
          <w:numId w:val="2"/>
        </w:numPr>
        <w:spacing w:after="40" w:before="40"/>
      </w:pPr>
      <w:r>
        <w:rPr>
          <w:rFonts w:ascii="Arial" w:cs="Arial" w:eastAsia="Arial" w:hAnsi="Arial"/>
          <w:sz w:val="22"/>
          <w:szCs w:val="22"/>
        </w:rPr>
        <w:t xml:space="preserve">Sign-off from the designated owner and their manager</w:t>
      </w:r>
    </w:p>
    <w:p>
      <w:pPr>
        <w:pStyle w:val="ListParagraph"/>
        <w:numPr>
          <w:ilvl w:val="0"/>
          <w:numId w:val="2"/>
        </w:numPr>
        <w:spacing w:after="40" w:before="40"/>
      </w:pPr>
      <w:r>
        <w:rPr>
          <w:rFonts w:ascii="Arial" w:cs="Arial" w:eastAsia="Arial" w:hAnsi="Arial"/>
          <w:sz w:val="22"/>
          <w:szCs w:val="22"/>
        </w:rPr>
        <w:t xml:space="preserve">Update in the shared compliance tracking workbook (WAX-PCI-2025-001_Evidence_Tracker.xlsx)</w:t>
      </w:r>
    </w:p>
    <w:p>
      <w:pPr>
        <w:pStyle w:val="ListParagraph"/>
        <w:numPr>
          <w:ilvl w:val="0"/>
          <w:numId w:val="2"/>
        </w:numPr>
        <w:spacing w:after="40" w:before="40"/>
      </w:pPr>
      <w:r>
        <w:rPr>
          <w:rFonts w:ascii="Arial" w:cs="Arial" w:eastAsia="Arial" w:hAnsi="Arial"/>
          <w:sz w:val="22"/>
          <w:szCs w:val="22"/>
        </w:rPr>
        <w:t xml:space="preserve">Validation by Assessment Lead prior to closure</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Items not completed by their target date will be escalated per the priority escalation framework in Section 1.1. Critical and High items overdue by more than 14 days will be escalated to the Managing Director for immediate executive intervention.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Remediation Roadmap &amp; Management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2026-05-30T05:00:09.819Z</dcterms:created>
  <dcterms:modified xsi:type="dcterms:W3CDTF">2026-05-30T05:00:09.819Z</dcterms:modified>
</cp:coreProperties>
</file>

<file path=docProps/custom.xml><?xml version="1.0" encoding="utf-8"?>
<Properties xmlns="http://schemas.openxmlformats.org/officeDocument/2006/custom-properties" xmlns:vt="http://schemas.openxmlformats.org/officeDocument/2006/docPropsVTypes"/>
</file>