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t xml:space="preserve"/>
      </w:r>
    </w:p>
    <w:p>
      <w:pPr>
        <w:spacing w:after="120" w:before="0"/>
        <w:jc w:val="center"/>
      </w:pPr>
      <w:r>
        <w:rPr>
          <w:rFonts w:ascii="Arial" w:cs="Arial" w:eastAsia="Arial" w:hAnsi="Arial"/>
          <w:b/>
          <w:bCs/>
          <w:color w:val="595959"/>
          <w:sz w:val="24"/>
          <w:szCs w:val="24"/>
        </w:rPr>
        <w:t xml:space="preserve">▮ WhaleAX Financial Consulting Services Pvt Ltd</w:t>
      </w:r>
    </w:p>
    <w:p>
      <w:pPr>
        <w:spacing w:after="120" w:before="480"/>
        <w:jc w:val="center"/>
      </w:pPr>
      <w:r>
        <w:rPr>
          <w:rFonts w:ascii="Arial" w:cs="Arial" w:eastAsia="Arial" w:hAnsi="Arial"/>
          <w:b/>
          <w:bCs/>
          <w:color w:val="1B3A6B"/>
          <w:sz w:val="52"/>
          <w:szCs w:val="52"/>
        </w:rPr>
        <w:t xml:space="preserve">Risk Assessment Report</w:t>
      </w:r>
    </w:p>
    <w:p>
      <w:pPr>
        <w:spacing w:after="480" w:before="120"/>
        <w:jc w:val="center"/>
      </w:pPr>
      <w:r>
        <w:rPr>
          <w:rFonts w:ascii="Arial" w:cs="Arial" w:eastAsia="Arial" w:hAnsi="Arial"/>
          <w:b w:val="false"/>
          <w:bCs w:val="false"/>
          <w:color w:val="595959"/>
          <w:sz w:val="28"/>
          <w:szCs w:val="28"/>
        </w:rPr>
        <w:t xml:space="preserve">PCI DSS v4.0 – Risk Register &amp; Analysis</w:t>
      </w:r>
    </w:p>
    <w:p>
      <w:pPr>
        <w:spacing w:after="60" w:before="240"/>
        <w:jc w:val="center"/>
      </w:pPr>
      <w:r>
        <w:rPr>
          <w:rFonts w:ascii="Arial" w:cs="Arial" w:eastAsia="Arial" w:hAnsi="Arial"/>
          <w:b/>
          <w:bCs/>
          <w:color w:val="2E75B6"/>
          <w:sz w:val="24"/>
          <w:szCs w:val="24"/>
        </w:rPr>
        <w:t xml:space="preserve">PCI DSS v4.0 Gap Assessment Engagement</w:t>
      </w:r>
    </w:p>
    <w:p>
      <w:pPr>
        <w:spacing w:after="60" w:before="48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595959"/>
                <w:sz w:val="20"/>
                <w:szCs w:val="20"/>
              </w:rPr>
              <w:t xml:space="preserve">Classification:</w:t>
            </w:r>
          </w:p>
        </w:tc>
        <w:tc>
          <w:tcPr>
            <w:tcW w:type="dxa" w:w="48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C00000"/>
                <w:sz w:val="20"/>
                <w:szCs w:val="20"/>
              </w:rPr>
              <w:t xml:space="preserve">CONFIDENTIAL – INTERNAL USE</w:t>
            </w:r>
          </w:p>
        </w:tc>
      </w:tr>
      <w:tr>
        <w:tc>
          <w:tcPr>
            <w:tcW w:type="dxa" w:w="24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595959"/>
                <w:sz w:val="20"/>
                <w:szCs w:val="20"/>
              </w:rPr>
              <w:t xml:space="preserve">Document Version:</w:t>
            </w:r>
          </w:p>
        </w:tc>
        <w:tc>
          <w:tcPr>
            <w:tcW w:type="dxa" w:w="48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v1.0 – FINAL</w:t>
            </w:r>
          </w:p>
        </w:tc>
      </w:tr>
      <w:tr>
        <w:tc>
          <w:tcPr>
            <w:tcW w:type="dxa" w:w="24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595959"/>
                <w:sz w:val="20"/>
                <w:szCs w:val="20"/>
              </w:rPr>
              <w:t xml:space="preserve">Assessment Date:</w:t>
            </w:r>
          </w:p>
        </w:tc>
        <w:tc>
          <w:tcPr>
            <w:tcW w:type="dxa" w:w="48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June 16, 2025</w:t>
            </w:r>
          </w:p>
        </w:tc>
      </w:tr>
      <w:tr>
        <w:tc>
          <w:tcPr>
            <w:tcW w:type="dxa" w:w="24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595959"/>
                <w:sz w:val="20"/>
                <w:szCs w:val="20"/>
              </w:rPr>
              <w:t xml:space="preserve">Prepared By:</w:t>
            </w:r>
          </w:p>
        </w:tc>
        <w:tc>
          <w:tcPr>
            <w:tcW w:type="dxa" w:w="48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PCI DSS Assessment &amp; Assurance Practice</w:t>
            </w:r>
          </w:p>
        </w:tc>
      </w:tr>
      <w:tr>
        <w:tc>
          <w:tcPr>
            <w:tcW w:type="dxa" w:w="24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595959"/>
                <w:sz w:val="20"/>
                <w:szCs w:val="20"/>
              </w:rPr>
              <w:t xml:space="preserve">Engagement Reference:</w:t>
            </w:r>
          </w:p>
        </w:tc>
        <w:tc>
          <w:tcPr>
            <w:tcW w:type="dxa" w:w="48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WAX-PCI-2025-001</w:t>
            </w:r>
          </w:p>
        </w:tc>
      </w:tr>
    </w:tbl>
    <w:p>
      <w:r>
        <w:br w:type="page"/>
      </w:r>
    </w:p>
    <w:p>
      <w:pPr>
        <w:pStyle w:val="Heading1"/>
        <w:pBdr>
          <w:bottom w:val="single" w:color="2E75B6" w:sz="6" w:space="4"/>
        </w:pBdr>
        <w:spacing w:after="120" w:before="360"/>
      </w:pPr>
      <w:r>
        <w:rPr>
          <w:rFonts w:ascii="Arial" w:cs="Arial" w:eastAsia="Arial" w:hAnsi="Arial"/>
          <w:b/>
          <w:bCs/>
          <w:color w:val="1B3A6B"/>
          <w:sz w:val="36"/>
          <w:szCs w:val="36"/>
        </w:rPr>
        <w:t xml:space="preserve">1. Risk Assessment Overview</w:t>
      </w:r>
    </w:p>
    <w:p>
      <w:pPr>
        <w:spacing w:after="60" w:before="60"/>
      </w:pPr>
      <w:r>
        <w:rPr>
          <w:rFonts w:ascii="Arial" w:cs="Arial" w:eastAsia="Arial" w:hAnsi="Arial"/>
          <w:b w:val="false"/>
          <w:bCs w:val="false"/>
          <w:i w:val="false"/>
          <w:iCs w:val="false"/>
          <w:color w:val="1A1A1A"/>
          <w:sz w:val="22"/>
          <w:szCs w:val="22"/>
        </w:rPr>
        <w:t xml:space="preserve">This Risk Assessment Report presents the formal risk analysis conducted as part of the PCI DSS v4.0 Gap Assessment for WhaleAX Financial Consulting Services Pvt Ltd. Risk ratings are assigned based on a 5x5 likelihood-impact matrix, aligned with ISO 31000 risk management principles and PCI DSS v4.0 Requirement 12.3 (Targeted Risk Analysis).</w:t>
      </w:r>
    </w:p>
    <w:p>
      <w:pPr>
        <w:spacing w:after="120" w:before="120"/>
      </w:pPr>
      <w:r>
        <w:t xml:space="preserve"/>
      </w:r>
    </w:p>
    <w:p>
      <w:pPr>
        <w:pStyle w:val="Heading2"/>
        <w:spacing w:after="80" w:before="240"/>
      </w:pPr>
      <w:r>
        <w:rPr>
          <w:rFonts w:ascii="Arial" w:cs="Arial" w:eastAsia="Arial" w:hAnsi="Arial"/>
          <w:b/>
          <w:bCs/>
          <w:color w:val="2E75B6"/>
          <w:sz w:val="28"/>
          <w:szCs w:val="28"/>
        </w:rPr>
        <w:t xml:space="preserve">1.1 Risk Rating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Impact →
Likelihood ↓</w:t>
            </w:r>
          </w:p>
        </w:tc>
        <w:tc>
          <w:tcPr>
            <w:tcW w:type="dxa" w:w="1872"/>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Negligible (1)</w:t>
            </w:r>
          </w:p>
        </w:tc>
        <w:tc>
          <w:tcPr>
            <w:tcW w:type="dxa" w:w="1872"/>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Minor (2)</w:t>
            </w:r>
          </w:p>
        </w:tc>
        <w:tc>
          <w:tcPr>
            <w:tcW w:type="dxa" w:w="1872"/>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Moderate (3)</w:t>
            </w:r>
          </w:p>
        </w:tc>
        <w:tc>
          <w:tcPr>
            <w:tcW w:type="dxa" w:w="1872"/>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Major (4)</w:t>
            </w:r>
          </w:p>
        </w:tc>
      </w:tr>
      <w:tr>
        <w:tc>
          <w:tcPr>
            <w:tcW w:type="dxa" w:w="1872"/>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Rare (1)</w:t>
            </w:r>
          </w:p>
        </w:tc>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 – Low</w:t>
            </w:r>
          </w:p>
        </w:tc>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2 – Low</w:t>
            </w:r>
          </w:p>
        </w:tc>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3 – Low</w:t>
            </w:r>
          </w:p>
        </w:tc>
        <w:tc>
          <w:tcPr>
            <w:tcW w:type="dxa" w:w="1872"/>
            <w:tcBorders>
              <w:top w:val="single" w:color="CCCCCC" w:sz="1"/>
              <w:left w:val="single" w:color="CCCCCC" w:sz="1"/>
              <w:bottom w:val="single" w:color="CCCCCC" w:sz="1"/>
              <w:right w:val="single" w:color="CCCCCC" w:sz="1"/>
            </w:tcBorders>
            <w:shd w:fill="FFFACC" w:val="clear"/>
            <w:tcMar>
              <w:top w:type="dxa" w:w="80"/>
              <w:left w:type="dxa" w:w="120"/>
              <w:bottom w:type="dxa" w:w="80"/>
              <w:right w:type="dxa" w:w="120"/>
            </w:tcMar>
            <w:vAlign w:val="center"/>
          </w:tcPr>
          <w:p>
            <w:pPr>
              <w:jc w:val="center"/>
            </w:pPr>
            <w:r>
              <w:rPr>
                <w:rFonts w:ascii="Arial" w:cs="Arial" w:eastAsia="Arial" w:hAnsi="Arial"/>
                <w:b/>
                <w:bCs/>
                <w:color w:val="9A7D0A"/>
                <w:sz w:val="18"/>
                <w:szCs w:val="18"/>
              </w:rPr>
              <w:t xml:space="preserve">4 – Medium</w:t>
            </w:r>
          </w:p>
        </w:tc>
      </w:tr>
      <w:tr>
        <w:tc>
          <w:tcPr>
            <w:tcW w:type="dxa" w:w="1872"/>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Unlikely (2)</w:t>
            </w:r>
          </w:p>
        </w:tc>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2 – Low</w:t>
            </w:r>
          </w:p>
        </w:tc>
        <w:tc>
          <w:tcPr>
            <w:tcW w:type="dxa" w:w="1872"/>
            <w:tcBorders>
              <w:top w:val="single" w:color="CCCCCC" w:sz="1"/>
              <w:left w:val="single" w:color="CCCCCC" w:sz="1"/>
              <w:bottom w:val="single" w:color="CCCCCC" w:sz="1"/>
              <w:right w:val="single" w:color="CCCCCC" w:sz="1"/>
            </w:tcBorders>
            <w:shd w:fill="FFFACC" w:val="clear"/>
            <w:tcMar>
              <w:top w:type="dxa" w:w="80"/>
              <w:left w:type="dxa" w:w="120"/>
              <w:bottom w:type="dxa" w:w="80"/>
              <w:right w:type="dxa" w:w="120"/>
            </w:tcMar>
            <w:vAlign w:val="center"/>
          </w:tcPr>
          <w:p>
            <w:pPr>
              <w:jc w:val="center"/>
            </w:pPr>
            <w:r>
              <w:rPr>
                <w:rFonts w:ascii="Arial" w:cs="Arial" w:eastAsia="Arial" w:hAnsi="Arial"/>
                <w:b/>
                <w:bCs/>
                <w:color w:val="9A7D0A"/>
                <w:sz w:val="18"/>
                <w:szCs w:val="18"/>
              </w:rPr>
              <w:t xml:space="preserve">4 – Medium</w:t>
            </w:r>
          </w:p>
        </w:tc>
        <w:tc>
          <w:tcPr>
            <w:tcW w:type="dxa" w:w="1872"/>
            <w:tcBorders>
              <w:top w:val="single" w:color="CCCCCC" w:sz="1"/>
              <w:left w:val="single" w:color="CCCCCC" w:sz="1"/>
              <w:bottom w:val="single" w:color="CCCCCC" w:sz="1"/>
              <w:right w:val="single" w:color="CCCCCC" w:sz="1"/>
            </w:tcBorders>
            <w:shd w:fill="FFFACC" w:val="clear"/>
            <w:tcMar>
              <w:top w:type="dxa" w:w="80"/>
              <w:left w:type="dxa" w:w="120"/>
              <w:bottom w:type="dxa" w:w="80"/>
              <w:right w:type="dxa" w:w="120"/>
            </w:tcMar>
            <w:vAlign w:val="center"/>
          </w:tcPr>
          <w:p>
            <w:pPr>
              <w:jc w:val="center"/>
            </w:pPr>
            <w:r>
              <w:rPr>
                <w:rFonts w:ascii="Arial" w:cs="Arial" w:eastAsia="Arial" w:hAnsi="Arial"/>
                <w:b/>
                <w:bCs/>
                <w:color w:val="9A7D0A"/>
                <w:sz w:val="18"/>
                <w:szCs w:val="18"/>
              </w:rPr>
              <w:t xml:space="preserve">6 – Medium</w:t>
            </w:r>
          </w:p>
        </w:tc>
        <w:tc>
          <w:tcPr>
            <w:tcW w:type="dxa" w:w="1872"/>
            <w:tcBorders>
              <w:top w:val="single" w:color="CCCCCC" w:sz="1"/>
              <w:left w:val="single" w:color="CCCCCC" w:sz="1"/>
              <w:bottom w:val="single" w:color="CCCCCC" w:sz="1"/>
              <w:right w:val="single" w:color="CCCCCC" w:sz="1"/>
            </w:tcBorders>
            <w:shd w:fill="FFFACC" w:val="clear"/>
            <w:tcMar>
              <w:top w:type="dxa" w:w="80"/>
              <w:left w:type="dxa" w:w="120"/>
              <w:bottom w:type="dxa" w:w="80"/>
              <w:right w:type="dxa" w:w="120"/>
            </w:tcMar>
            <w:vAlign w:val="center"/>
          </w:tcPr>
          <w:p>
            <w:pPr>
              <w:jc w:val="center"/>
            </w:pPr>
            <w:r>
              <w:rPr>
                <w:rFonts w:ascii="Arial" w:cs="Arial" w:eastAsia="Arial" w:hAnsi="Arial"/>
                <w:b/>
                <w:bCs/>
                <w:color w:val="9A7D0A"/>
                <w:sz w:val="18"/>
                <w:szCs w:val="18"/>
              </w:rPr>
              <w:t xml:space="preserve">8 – Medium</w:t>
            </w:r>
          </w:p>
        </w:tc>
      </w:tr>
      <w:tr>
        <w:tc>
          <w:tcPr>
            <w:tcW w:type="dxa" w:w="1872"/>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Possible (3)</w:t>
            </w:r>
          </w:p>
        </w:tc>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3 – Low</w:t>
            </w:r>
          </w:p>
        </w:tc>
        <w:tc>
          <w:tcPr>
            <w:tcW w:type="dxa" w:w="1872"/>
            <w:tcBorders>
              <w:top w:val="single" w:color="CCCCCC" w:sz="1"/>
              <w:left w:val="single" w:color="CCCCCC" w:sz="1"/>
              <w:bottom w:val="single" w:color="CCCCCC" w:sz="1"/>
              <w:right w:val="single" w:color="CCCCCC" w:sz="1"/>
            </w:tcBorders>
            <w:shd w:fill="FFFACC" w:val="clear"/>
            <w:tcMar>
              <w:top w:type="dxa" w:w="80"/>
              <w:left w:type="dxa" w:w="120"/>
              <w:bottom w:type="dxa" w:w="80"/>
              <w:right w:type="dxa" w:w="120"/>
            </w:tcMar>
            <w:vAlign w:val="center"/>
          </w:tcPr>
          <w:p>
            <w:pPr>
              <w:jc w:val="center"/>
            </w:pPr>
            <w:r>
              <w:rPr>
                <w:rFonts w:ascii="Arial" w:cs="Arial" w:eastAsia="Arial" w:hAnsi="Arial"/>
                <w:b/>
                <w:bCs/>
                <w:color w:val="9A7D0A"/>
                <w:sz w:val="18"/>
                <w:szCs w:val="18"/>
              </w:rPr>
              <w:t xml:space="preserve">6 – Medium</w:t>
            </w:r>
          </w:p>
        </w:tc>
        <w:tc>
          <w:tcPr>
            <w:tcW w:type="dxa" w:w="1872"/>
            <w:tcBorders>
              <w:top w:val="single" w:color="CCCCCC" w:sz="1"/>
              <w:left w:val="single" w:color="CCCCCC" w:sz="1"/>
              <w:bottom w:val="single" w:color="CCCCCC" w:sz="1"/>
              <w:right w:val="single" w:color="CCCCCC" w:sz="1"/>
            </w:tcBorders>
            <w:shd w:fill="FFE8CC" w:val="clear"/>
            <w:tcMar>
              <w:top w:type="dxa" w:w="80"/>
              <w:left w:type="dxa" w:w="120"/>
              <w:bottom w:type="dxa" w:w="80"/>
              <w:right w:type="dxa" w:w="120"/>
            </w:tcMar>
            <w:vAlign w:val="center"/>
          </w:tcPr>
          <w:p>
            <w:pPr>
              <w:jc w:val="center"/>
            </w:pPr>
            <w:r>
              <w:rPr>
                <w:rFonts w:ascii="Arial" w:cs="Arial" w:eastAsia="Arial" w:hAnsi="Arial"/>
                <w:b/>
                <w:bCs/>
                <w:color w:val="CC5500"/>
                <w:sz w:val="18"/>
                <w:szCs w:val="18"/>
              </w:rPr>
              <w:t xml:space="preserve">9 – High</w:t>
            </w:r>
          </w:p>
        </w:tc>
        <w:tc>
          <w:tcPr>
            <w:tcW w:type="dxa" w:w="1872"/>
            <w:tcBorders>
              <w:top w:val="single" w:color="CCCCCC" w:sz="1"/>
              <w:left w:val="single" w:color="CCCCCC" w:sz="1"/>
              <w:bottom w:val="single" w:color="CCCCCC" w:sz="1"/>
              <w:right w:val="single" w:color="CCCCCC" w:sz="1"/>
            </w:tcBorders>
            <w:shd w:fill="FFE8CC" w:val="clear"/>
            <w:tcMar>
              <w:top w:type="dxa" w:w="80"/>
              <w:left w:type="dxa" w:w="120"/>
              <w:bottom w:type="dxa" w:w="80"/>
              <w:right w:type="dxa" w:w="120"/>
            </w:tcMar>
            <w:vAlign w:val="center"/>
          </w:tcPr>
          <w:p>
            <w:pPr>
              <w:jc w:val="center"/>
            </w:pPr>
            <w:r>
              <w:rPr>
                <w:rFonts w:ascii="Arial" w:cs="Arial" w:eastAsia="Arial" w:hAnsi="Arial"/>
                <w:b/>
                <w:bCs/>
                <w:color w:val="CC5500"/>
                <w:sz w:val="18"/>
                <w:szCs w:val="18"/>
              </w:rPr>
              <w:t xml:space="preserve">12 – High</w:t>
            </w:r>
          </w:p>
        </w:tc>
      </w:tr>
      <w:tr>
        <w:tc>
          <w:tcPr>
            <w:tcW w:type="dxa" w:w="1872"/>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Likely (4)</w:t>
            </w:r>
          </w:p>
        </w:tc>
        <w:tc>
          <w:tcPr>
            <w:tcW w:type="dxa" w:w="1872"/>
            <w:tcBorders>
              <w:top w:val="single" w:color="CCCCCC" w:sz="1"/>
              <w:left w:val="single" w:color="CCCCCC" w:sz="1"/>
              <w:bottom w:val="single" w:color="CCCCCC" w:sz="1"/>
              <w:right w:val="single" w:color="CCCCCC" w:sz="1"/>
            </w:tcBorders>
            <w:shd w:fill="FFFACC" w:val="clear"/>
            <w:tcMar>
              <w:top w:type="dxa" w:w="80"/>
              <w:left w:type="dxa" w:w="120"/>
              <w:bottom w:type="dxa" w:w="80"/>
              <w:right w:type="dxa" w:w="120"/>
            </w:tcMar>
            <w:vAlign w:val="center"/>
          </w:tcPr>
          <w:p>
            <w:pPr>
              <w:jc w:val="center"/>
            </w:pPr>
            <w:r>
              <w:rPr>
                <w:rFonts w:ascii="Arial" w:cs="Arial" w:eastAsia="Arial" w:hAnsi="Arial"/>
                <w:b/>
                <w:bCs/>
                <w:color w:val="9A7D0A"/>
                <w:sz w:val="18"/>
                <w:szCs w:val="18"/>
              </w:rPr>
              <w:t xml:space="preserve">4 – Medium</w:t>
            </w:r>
          </w:p>
        </w:tc>
        <w:tc>
          <w:tcPr>
            <w:tcW w:type="dxa" w:w="1872"/>
            <w:tcBorders>
              <w:top w:val="single" w:color="CCCCCC" w:sz="1"/>
              <w:left w:val="single" w:color="CCCCCC" w:sz="1"/>
              <w:bottom w:val="single" w:color="CCCCCC" w:sz="1"/>
              <w:right w:val="single" w:color="CCCCCC" w:sz="1"/>
            </w:tcBorders>
            <w:shd w:fill="FFFACC" w:val="clear"/>
            <w:tcMar>
              <w:top w:type="dxa" w:w="80"/>
              <w:left w:type="dxa" w:w="120"/>
              <w:bottom w:type="dxa" w:w="80"/>
              <w:right w:type="dxa" w:w="120"/>
            </w:tcMar>
            <w:vAlign w:val="center"/>
          </w:tcPr>
          <w:p>
            <w:pPr>
              <w:jc w:val="center"/>
            </w:pPr>
            <w:r>
              <w:rPr>
                <w:rFonts w:ascii="Arial" w:cs="Arial" w:eastAsia="Arial" w:hAnsi="Arial"/>
                <w:b/>
                <w:bCs/>
                <w:color w:val="9A7D0A"/>
                <w:sz w:val="18"/>
                <w:szCs w:val="18"/>
              </w:rPr>
              <w:t xml:space="preserve">8 – Medium</w:t>
            </w:r>
          </w:p>
        </w:tc>
        <w:tc>
          <w:tcPr>
            <w:tcW w:type="dxa" w:w="1872"/>
            <w:tcBorders>
              <w:top w:val="single" w:color="CCCCCC" w:sz="1"/>
              <w:left w:val="single" w:color="CCCCCC" w:sz="1"/>
              <w:bottom w:val="single" w:color="CCCCCC" w:sz="1"/>
              <w:right w:val="single" w:color="CCCCCC" w:sz="1"/>
            </w:tcBorders>
            <w:shd w:fill="FFE8CC" w:val="clear"/>
            <w:tcMar>
              <w:top w:type="dxa" w:w="80"/>
              <w:left w:type="dxa" w:w="120"/>
              <w:bottom w:type="dxa" w:w="80"/>
              <w:right w:type="dxa" w:w="120"/>
            </w:tcMar>
            <w:vAlign w:val="center"/>
          </w:tcPr>
          <w:p>
            <w:pPr>
              <w:jc w:val="center"/>
            </w:pPr>
            <w:r>
              <w:rPr>
                <w:rFonts w:ascii="Arial" w:cs="Arial" w:eastAsia="Arial" w:hAnsi="Arial"/>
                <w:b/>
                <w:bCs/>
                <w:color w:val="CC5500"/>
                <w:sz w:val="18"/>
                <w:szCs w:val="18"/>
              </w:rPr>
              <w:t xml:space="preserve">12 – High</w:t>
            </w:r>
          </w:p>
        </w:tc>
        <w:tc>
          <w:tcPr>
            <w:tcW w:type="dxa" w:w="1872"/>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16 – Critical</w:t>
            </w:r>
          </w:p>
        </w:tc>
      </w:tr>
      <w:tr>
        <w:tc>
          <w:tcPr>
            <w:tcW w:type="dxa" w:w="1872"/>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Almost Certain (5)</w:t>
            </w:r>
          </w:p>
        </w:tc>
        <w:tc>
          <w:tcPr>
            <w:tcW w:type="dxa" w:w="1872"/>
            <w:tcBorders>
              <w:top w:val="single" w:color="CCCCCC" w:sz="1"/>
              <w:left w:val="single" w:color="CCCCCC" w:sz="1"/>
              <w:bottom w:val="single" w:color="CCCCCC" w:sz="1"/>
              <w:right w:val="single" w:color="CCCCCC" w:sz="1"/>
            </w:tcBorders>
            <w:shd w:fill="FFFACC" w:val="clear"/>
            <w:tcMar>
              <w:top w:type="dxa" w:w="80"/>
              <w:left w:type="dxa" w:w="120"/>
              <w:bottom w:type="dxa" w:w="80"/>
              <w:right w:type="dxa" w:w="120"/>
            </w:tcMar>
            <w:vAlign w:val="center"/>
          </w:tcPr>
          <w:p>
            <w:pPr>
              <w:jc w:val="center"/>
            </w:pPr>
            <w:r>
              <w:rPr>
                <w:rFonts w:ascii="Arial" w:cs="Arial" w:eastAsia="Arial" w:hAnsi="Arial"/>
                <w:b/>
                <w:bCs/>
                <w:color w:val="9A7D0A"/>
                <w:sz w:val="18"/>
                <w:szCs w:val="18"/>
              </w:rPr>
              <w:t xml:space="preserve">5 – Medium</w:t>
            </w:r>
          </w:p>
        </w:tc>
        <w:tc>
          <w:tcPr>
            <w:tcW w:type="dxa" w:w="1872"/>
            <w:tcBorders>
              <w:top w:val="single" w:color="CCCCCC" w:sz="1"/>
              <w:left w:val="single" w:color="CCCCCC" w:sz="1"/>
              <w:bottom w:val="single" w:color="CCCCCC" w:sz="1"/>
              <w:right w:val="single" w:color="CCCCCC" w:sz="1"/>
            </w:tcBorders>
            <w:shd w:fill="FFE8CC" w:val="clear"/>
            <w:tcMar>
              <w:top w:type="dxa" w:w="80"/>
              <w:left w:type="dxa" w:w="120"/>
              <w:bottom w:type="dxa" w:w="80"/>
              <w:right w:type="dxa" w:w="120"/>
            </w:tcMar>
            <w:vAlign w:val="center"/>
          </w:tcPr>
          <w:p>
            <w:pPr>
              <w:jc w:val="center"/>
            </w:pPr>
            <w:r>
              <w:rPr>
                <w:rFonts w:ascii="Arial" w:cs="Arial" w:eastAsia="Arial" w:hAnsi="Arial"/>
                <w:b/>
                <w:bCs/>
                <w:color w:val="CC5500"/>
                <w:sz w:val="18"/>
                <w:szCs w:val="18"/>
              </w:rPr>
              <w:t xml:space="preserve">10 – High</w:t>
            </w:r>
          </w:p>
        </w:tc>
        <w:tc>
          <w:tcPr>
            <w:tcW w:type="dxa" w:w="1872"/>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15 – Critical</w:t>
            </w:r>
          </w:p>
        </w:tc>
        <w:tc>
          <w:tcPr>
            <w:tcW w:type="dxa" w:w="1872"/>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20 – Critical</w:t>
            </w:r>
          </w:p>
        </w:tc>
      </w:tr>
    </w:tbl>
    <w:p>
      <w:pPr>
        <w:spacing w:after="120" w:before="120"/>
      </w:pPr>
      <w:r>
        <w:t xml:space="preserve"/>
      </w:r>
    </w:p>
    <w:p>
      <w:pPr>
        <w:pStyle w:val="Heading2"/>
        <w:spacing w:after="80" w:before="240"/>
      </w:pPr>
      <w:r>
        <w:rPr>
          <w:rFonts w:ascii="Arial" w:cs="Arial" w:eastAsia="Arial" w:hAnsi="Arial"/>
          <w:b/>
          <w:bCs/>
          <w:color w:val="2E75B6"/>
          <w:sz w:val="28"/>
          <w:szCs w:val="28"/>
        </w:rPr>
        <w:t xml:space="preserve">1.2 Risk Register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
        <w:gridCol w:w="2574"/>
        <w:gridCol w:w="936"/>
        <w:gridCol w:w="936"/>
        <w:gridCol w:w="936"/>
        <w:gridCol w:w="1404"/>
        <w:gridCol w:w="1170"/>
        <w:gridCol w:w="780"/>
      </w:tblGrid>
      <w:tr>
        <w:tc>
          <w:tcPr>
            <w:tcW w:type="dxa" w:w="624"/>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ID</w:t>
            </w:r>
          </w:p>
        </w:tc>
        <w:tc>
          <w:tcPr>
            <w:tcW w:type="dxa" w:w="2574"/>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Risk Description</w:t>
            </w:r>
          </w:p>
        </w:tc>
        <w:tc>
          <w:tcPr>
            <w:tcW w:type="dxa" w:w="936"/>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Likelihood</w:t>
            </w:r>
          </w:p>
        </w:tc>
        <w:tc>
          <w:tcPr>
            <w:tcW w:type="dxa" w:w="936"/>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Impact</w:t>
            </w:r>
          </w:p>
        </w:tc>
        <w:tc>
          <w:tcPr>
            <w:tcW w:type="dxa" w:w="936"/>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Inherent Risk</w:t>
            </w:r>
          </w:p>
        </w:tc>
        <w:tc>
          <w:tcPr>
            <w:tcW w:type="dxa" w:w="1404"/>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Existing Controls</w:t>
            </w:r>
          </w:p>
        </w:tc>
        <w:tc>
          <w:tcPr>
            <w:tcW w:type="dxa" w:w="117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Residual Risk</w:t>
            </w:r>
          </w:p>
        </w:tc>
        <w:tc>
          <w:tcPr>
            <w:tcW w:type="dxa" w:w="78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Owner</w:t>
            </w:r>
          </w:p>
        </w:tc>
      </w:tr>
      <w:tr>
        <w:tc>
          <w:tcPr>
            <w:tcW w:type="dxa" w:w="624"/>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R-001</w:t>
            </w:r>
          </w:p>
        </w:tc>
        <w:tc>
          <w:tcPr>
            <w:tcW w:type="dxa" w:w="2574"/>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Unpatched critical CVEs exploited by threat actors to gain unauthorized CDE access</w:t>
            </w:r>
          </w:p>
        </w:tc>
        <w:tc>
          <w:tcPr>
            <w:tcW w:type="dxa" w:w="93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Likely (4)</w:t>
            </w:r>
          </w:p>
        </w:tc>
        <w:tc>
          <w:tcPr>
            <w:tcW w:type="dxa" w:w="93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Major (4)</w:t>
            </w:r>
          </w:p>
        </w:tc>
        <w:tc>
          <w:tcPr>
            <w:tcW w:type="dxa" w:w="117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Critical</w:t>
            </w:r>
          </w:p>
        </w:tc>
        <w:tc>
          <w:tcPr>
            <w:tcW w:type="dxa" w:w="1404"/>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AWS SG filtering (partial)</w:t>
            </w:r>
          </w:p>
        </w:tc>
        <w:tc>
          <w:tcPr>
            <w:tcW w:type="dxa" w:w="1170"/>
            <w:tcBorders>
              <w:top w:val="single" w:color="CCCCCC" w:sz="1"/>
              <w:left w:val="single" w:color="CCCCCC" w:sz="1"/>
              <w:bottom w:val="single" w:color="CCCCCC" w:sz="1"/>
              <w:right w:val="single" w:color="CCCCCC" w:sz="1"/>
            </w:tcBorders>
            <w:shd w:fill="FFE8CC" w:val="clear"/>
            <w:tcMar>
              <w:top w:type="dxa" w:w="80"/>
              <w:left w:type="dxa" w:w="120"/>
              <w:bottom w:type="dxa" w:w="80"/>
              <w:right w:type="dxa" w:w="120"/>
            </w:tcMar>
            <w:vAlign w:val="center"/>
          </w:tcPr>
          <w:p>
            <w:pPr>
              <w:jc w:val="center"/>
            </w:pPr>
            <w:r>
              <w:rPr>
                <w:rFonts w:ascii="Arial" w:cs="Arial" w:eastAsia="Arial" w:hAnsi="Arial"/>
                <w:b/>
                <w:bCs/>
                <w:color w:val="CC5500"/>
                <w:sz w:val="18"/>
                <w:szCs w:val="18"/>
              </w:rPr>
              <w:t xml:space="preserve">High</w:t>
            </w:r>
          </w:p>
        </w:tc>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IT Mgr</w:t>
            </w:r>
          </w:p>
        </w:tc>
      </w:tr>
      <w:tr>
        <w:tc>
          <w:tcPr>
            <w:tcW w:type="dxa" w:w="62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R-002</w:t>
            </w:r>
          </w:p>
        </w:tc>
        <w:tc>
          <w:tcPr>
            <w:tcW w:type="dxa" w:w="257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Unauthorized firewall rule changes undetected due to incomplete quarterly review</w:t>
            </w:r>
          </w:p>
        </w:tc>
        <w:tc>
          <w:tcPr>
            <w:tcW w:type="dxa" w:w="93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Possible (3)</w:t>
            </w:r>
          </w:p>
        </w:tc>
        <w:tc>
          <w:tcPr>
            <w:tcW w:type="dxa" w:w="93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Major (4)</w:t>
            </w:r>
          </w:p>
        </w:tc>
        <w:tc>
          <w:tcPr>
            <w:tcW w:type="dxa" w:w="1170"/>
            <w:tcBorders>
              <w:top w:val="single" w:color="CCCCCC" w:sz="1"/>
              <w:left w:val="single" w:color="CCCCCC" w:sz="1"/>
              <w:bottom w:val="single" w:color="CCCCCC" w:sz="1"/>
              <w:right w:val="single" w:color="CCCCCC" w:sz="1"/>
            </w:tcBorders>
            <w:shd w:fill="FFE8CC" w:val="clear"/>
            <w:tcMar>
              <w:top w:type="dxa" w:w="80"/>
              <w:left w:type="dxa" w:w="120"/>
              <w:bottom w:type="dxa" w:w="80"/>
              <w:right w:type="dxa" w:w="120"/>
            </w:tcMar>
            <w:vAlign w:val="center"/>
          </w:tcPr>
          <w:p>
            <w:pPr>
              <w:jc w:val="center"/>
            </w:pPr>
            <w:r>
              <w:rPr>
                <w:rFonts w:ascii="Arial" w:cs="Arial" w:eastAsia="Arial" w:hAnsi="Arial"/>
                <w:b/>
                <w:bCs/>
                <w:color w:val="CC5500"/>
                <w:sz w:val="18"/>
                <w:szCs w:val="18"/>
              </w:rPr>
              <w:t xml:space="preserve">High</w:t>
            </w:r>
          </w:p>
        </w:tc>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CloudTrail audit logs</w:t>
            </w:r>
          </w:p>
        </w:tc>
        <w:tc>
          <w:tcPr>
            <w:tcW w:type="dxa" w:w="1170"/>
            <w:tcBorders>
              <w:top w:val="single" w:color="CCCCCC" w:sz="1"/>
              <w:left w:val="single" w:color="CCCCCC" w:sz="1"/>
              <w:bottom w:val="single" w:color="CCCCCC" w:sz="1"/>
              <w:right w:val="single" w:color="CCCCCC" w:sz="1"/>
            </w:tcBorders>
            <w:shd w:fill="FFE8CC" w:val="clear"/>
            <w:tcMar>
              <w:top w:type="dxa" w:w="80"/>
              <w:left w:type="dxa" w:w="120"/>
              <w:bottom w:type="dxa" w:w="80"/>
              <w:right w:type="dxa" w:w="120"/>
            </w:tcMar>
            <w:vAlign w:val="center"/>
          </w:tcPr>
          <w:p>
            <w:pPr>
              <w:jc w:val="center"/>
            </w:pPr>
            <w:r>
              <w:rPr>
                <w:rFonts w:ascii="Arial" w:cs="Arial" w:eastAsia="Arial" w:hAnsi="Arial"/>
                <w:b/>
                <w:bCs/>
                <w:color w:val="CC5500"/>
                <w:sz w:val="18"/>
                <w:szCs w:val="18"/>
              </w:rPr>
              <w:t xml:space="preserve">High</w:t>
            </w:r>
          </w:p>
        </w:tc>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IT Mgr</w:t>
            </w:r>
          </w:p>
        </w:tc>
      </w:tr>
      <w:tr>
        <w:tc>
          <w:tcPr>
            <w:tcW w:type="dxa" w:w="624"/>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R-003</w:t>
            </w:r>
          </w:p>
        </w:tc>
        <w:tc>
          <w:tcPr>
            <w:tcW w:type="dxa" w:w="2574"/>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Insider threat or compromised analyst account due to excessive access privileges</w:t>
            </w:r>
          </w:p>
        </w:tc>
        <w:tc>
          <w:tcPr>
            <w:tcW w:type="dxa" w:w="93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Likely (4)</w:t>
            </w:r>
          </w:p>
        </w:tc>
        <w:tc>
          <w:tcPr>
            <w:tcW w:type="dxa" w:w="93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Major (4)</w:t>
            </w:r>
          </w:p>
        </w:tc>
        <w:tc>
          <w:tcPr>
            <w:tcW w:type="dxa" w:w="117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Critical</w:t>
            </w:r>
          </w:p>
        </w:tc>
        <w:tc>
          <w:tcPr>
            <w:tcW w:type="dxa" w:w="1404"/>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MFA enabled (Okta)</w:t>
            </w:r>
          </w:p>
        </w:tc>
        <w:tc>
          <w:tcPr>
            <w:tcW w:type="dxa" w:w="1170"/>
            <w:tcBorders>
              <w:top w:val="single" w:color="CCCCCC" w:sz="1"/>
              <w:left w:val="single" w:color="CCCCCC" w:sz="1"/>
              <w:bottom w:val="single" w:color="CCCCCC" w:sz="1"/>
              <w:right w:val="single" w:color="CCCCCC" w:sz="1"/>
            </w:tcBorders>
            <w:shd w:fill="FFE8CC" w:val="clear"/>
            <w:tcMar>
              <w:top w:type="dxa" w:w="80"/>
              <w:left w:type="dxa" w:w="120"/>
              <w:bottom w:type="dxa" w:w="80"/>
              <w:right w:type="dxa" w:w="120"/>
            </w:tcMar>
            <w:vAlign w:val="center"/>
          </w:tcPr>
          <w:p>
            <w:pPr>
              <w:jc w:val="center"/>
            </w:pPr>
            <w:r>
              <w:rPr>
                <w:rFonts w:ascii="Arial" w:cs="Arial" w:eastAsia="Arial" w:hAnsi="Arial"/>
                <w:b/>
                <w:bCs/>
                <w:color w:val="CC5500"/>
                <w:sz w:val="18"/>
                <w:szCs w:val="18"/>
              </w:rPr>
              <w:t xml:space="preserve">High</w:t>
            </w:r>
          </w:p>
        </w:tc>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CCO</w:t>
            </w:r>
          </w:p>
        </w:tc>
      </w:tr>
      <w:tr>
        <w:tc>
          <w:tcPr>
            <w:tcW w:type="dxa" w:w="62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R-004</w:t>
            </w:r>
          </w:p>
        </w:tc>
        <w:tc>
          <w:tcPr>
            <w:tcW w:type="dxa" w:w="257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CDE data exfiltration undetected due to insufficient log review</w:t>
            </w:r>
          </w:p>
        </w:tc>
        <w:tc>
          <w:tcPr>
            <w:tcW w:type="dxa" w:w="93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Possible (3)</w:t>
            </w:r>
          </w:p>
        </w:tc>
        <w:tc>
          <w:tcPr>
            <w:tcW w:type="dxa" w:w="93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Major (4)</w:t>
            </w:r>
          </w:p>
        </w:tc>
        <w:tc>
          <w:tcPr>
            <w:tcW w:type="dxa" w:w="1170"/>
            <w:tcBorders>
              <w:top w:val="single" w:color="CCCCCC" w:sz="1"/>
              <w:left w:val="single" w:color="CCCCCC" w:sz="1"/>
              <w:bottom w:val="single" w:color="CCCCCC" w:sz="1"/>
              <w:right w:val="single" w:color="CCCCCC" w:sz="1"/>
            </w:tcBorders>
            <w:shd w:fill="FFE8CC" w:val="clear"/>
            <w:tcMar>
              <w:top w:type="dxa" w:w="80"/>
              <w:left w:type="dxa" w:w="120"/>
              <w:bottom w:type="dxa" w:w="80"/>
              <w:right w:type="dxa" w:w="120"/>
            </w:tcMar>
            <w:vAlign w:val="center"/>
          </w:tcPr>
          <w:p>
            <w:pPr>
              <w:jc w:val="center"/>
            </w:pPr>
            <w:r>
              <w:rPr>
                <w:rFonts w:ascii="Arial" w:cs="Arial" w:eastAsia="Arial" w:hAnsi="Arial"/>
                <w:b/>
                <w:bCs/>
                <w:color w:val="CC5500"/>
                <w:sz w:val="18"/>
                <w:szCs w:val="18"/>
              </w:rPr>
              <w:t xml:space="preserve">High</w:t>
            </w:r>
          </w:p>
        </w:tc>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SIEM deployed (partial)</w:t>
            </w:r>
          </w:p>
        </w:tc>
        <w:tc>
          <w:tcPr>
            <w:tcW w:type="dxa" w:w="1170"/>
            <w:tcBorders>
              <w:top w:val="single" w:color="CCCCCC" w:sz="1"/>
              <w:left w:val="single" w:color="CCCCCC" w:sz="1"/>
              <w:bottom w:val="single" w:color="CCCCCC" w:sz="1"/>
              <w:right w:val="single" w:color="CCCCCC" w:sz="1"/>
            </w:tcBorders>
            <w:shd w:fill="FFE8CC" w:val="clear"/>
            <w:tcMar>
              <w:top w:type="dxa" w:w="80"/>
              <w:left w:type="dxa" w:w="120"/>
              <w:bottom w:type="dxa" w:w="80"/>
              <w:right w:type="dxa" w:w="120"/>
            </w:tcMar>
            <w:vAlign w:val="center"/>
          </w:tcPr>
          <w:p>
            <w:pPr>
              <w:jc w:val="center"/>
            </w:pPr>
            <w:r>
              <w:rPr>
                <w:rFonts w:ascii="Arial" w:cs="Arial" w:eastAsia="Arial" w:hAnsi="Arial"/>
                <w:b/>
                <w:bCs/>
                <w:color w:val="CC5500"/>
                <w:sz w:val="18"/>
                <w:szCs w:val="18"/>
              </w:rPr>
              <w:t xml:space="preserve">High</w:t>
            </w:r>
          </w:p>
        </w:tc>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IT Mgr</w:t>
            </w:r>
          </w:p>
        </w:tc>
      </w:tr>
      <w:tr>
        <w:tc>
          <w:tcPr>
            <w:tcW w:type="dxa" w:w="624"/>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R-005</w:t>
            </w:r>
          </w:p>
        </w:tc>
        <w:tc>
          <w:tcPr>
            <w:tcW w:type="dxa" w:w="2574"/>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Service account credential compromise due to shared passwords</w:t>
            </w:r>
          </w:p>
        </w:tc>
        <w:tc>
          <w:tcPr>
            <w:tcW w:type="dxa" w:w="93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Likely (4)</w:t>
            </w:r>
          </w:p>
        </w:tc>
        <w:tc>
          <w:tcPr>
            <w:tcW w:type="dxa" w:w="93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Moderate (3)</w:t>
            </w:r>
          </w:p>
        </w:tc>
        <w:tc>
          <w:tcPr>
            <w:tcW w:type="dxa" w:w="1170"/>
            <w:tcBorders>
              <w:top w:val="single" w:color="CCCCCC" w:sz="1"/>
              <w:left w:val="single" w:color="CCCCCC" w:sz="1"/>
              <w:bottom w:val="single" w:color="CCCCCC" w:sz="1"/>
              <w:right w:val="single" w:color="CCCCCC" w:sz="1"/>
            </w:tcBorders>
            <w:shd w:fill="FFE8CC" w:val="clear"/>
            <w:tcMar>
              <w:top w:type="dxa" w:w="80"/>
              <w:left w:type="dxa" w:w="120"/>
              <w:bottom w:type="dxa" w:w="80"/>
              <w:right w:type="dxa" w:w="120"/>
            </w:tcMar>
            <w:vAlign w:val="center"/>
          </w:tcPr>
          <w:p>
            <w:pPr>
              <w:jc w:val="center"/>
            </w:pPr>
            <w:r>
              <w:rPr>
                <w:rFonts w:ascii="Arial" w:cs="Arial" w:eastAsia="Arial" w:hAnsi="Arial"/>
                <w:b/>
                <w:bCs/>
                <w:color w:val="CC5500"/>
                <w:sz w:val="18"/>
                <w:szCs w:val="18"/>
              </w:rPr>
              <w:t xml:space="preserve">High</w:t>
            </w:r>
          </w:p>
        </w:tc>
        <w:tc>
          <w:tcPr>
            <w:tcW w:type="dxa" w:w="1404"/>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None identified</w:t>
            </w:r>
          </w:p>
        </w:tc>
        <w:tc>
          <w:tcPr>
            <w:tcW w:type="dxa" w:w="1170"/>
            <w:tcBorders>
              <w:top w:val="single" w:color="CCCCCC" w:sz="1"/>
              <w:left w:val="single" w:color="CCCCCC" w:sz="1"/>
              <w:bottom w:val="single" w:color="CCCCCC" w:sz="1"/>
              <w:right w:val="single" w:color="CCCCCC" w:sz="1"/>
            </w:tcBorders>
            <w:shd w:fill="FFE8CC" w:val="clear"/>
            <w:tcMar>
              <w:top w:type="dxa" w:w="80"/>
              <w:left w:type="dxa" w:w="120"/>
              <w:bottom w:type="dxa" w:w="80"/>
              <w:right w:type="dxa" w:w="120"/>
            </w:tcMar>
            <w:vAlign w:val="center"/>
          </w:tcPr>
          <w:p>
            <w:pPr>
              <w:jc w:val="center"/>
            </w:pPr>
            <w:r>
              <w:rPr>
                <w:rFonts w:ascii="Arial" w:cs="Arial" w:eastAsia="Arial" w:hAnsi="Arial"/>
                <w:b/>
                <w:bCs/>
                <w:color w:val="CC5500"/>
                <w:sz w:val="18"/>
                <w:szCs w:val="18"/>
              </w:rPr>
              <w:t xml:space="preserve">High</w:t>
            </w:r>
          </w:p>
        </w:tc>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IT Mgr</w:t>
            </w:r>
          </w:p>
        </w:tc>
      </w:tr>
      <w:tr>
        <w:tc>
          <w:tcPr>
            <w:tcW w:type="dxa" w:w="62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R-006</w:t>
            </w:r>
          </w:p>
        </w:tc>
        <w:tc>
          <w:tcPr>
            <w:tcW w:type="dxa" w:w="257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Missed vulnerability remediation enabling prolonged attacker dwell time</w:t>
            </w:r>
          </w:p>
        </w:tc>
        <w:tc>
          <w:tcPr>
            <w:tcW w:type="dxa" w:w="93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Possible (3)</w:t>
            </w:r>
          </w:p>
        </w:tc>
        <w:tc>
          <w:tcPr>
            <w:tcW w:type="dxa" w:w="93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Major (4)</w:t>
            </w:r>
          </w:p>
        </w:tc>
        <w:tc>
          <w:tcPr>
            <w:tcW w:type="dxa" w:w="1170"/>
            <w:tcBorders>
              <w:top w:val="single" w:color="CCCCCC" w:sz="1"/>
              <w:left w:val="single" w:color="CCCCCC" w:sz="1"/>
              <w:bottom w:val="single" w:color="CCCCCC" w:sz="1"/>
              <w:right w:val="single" w:color="CCCCCC" w:sz="1"/>
            </w:tcBorders>
            <w:shd w:fill="FFE8CC" w:val="clear"/>
            <w:tcMar>
              <w:top w:type="dxa" w:w="80"/>
              <w:left w:type="dxa" w:w="120"/>
              <w:bottom w:type="dxa" w:w="80"/>
              <w:right w:type="dxa" w:w="120"/>
            </w:tcMar>
            <w:vAlign w:val="center"/>
          </w:tcPr>
          <w:p>
            <w:pPr>
              <w:jc w:val="center"/>
            </w:pPr>
            <w:r>
              <w:rPr>
                <w:rFonts w:ascii="Arial" w:cs="Arial" w:eastAsia="Arial" w:hAnsi="Arial"/>
                <w:b/>
                <w:bCs/>
                <w:color w:val="CC5500"/>
                <w:sz w:val="18"/>
                <w:szCs w:val="18"/>
              </w:rPr>
              <w:t xml:space="preserve">High</w:t>
            </w:r>
          </w:p>
        </w:tc>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Tenable.io scanning</w:t>
            </w:r>
          </w:p>
        </w:tc>
        <w:tc>
          <w:tcPr>
            <w:tcW w:type="dxa" w:w="1170"/>
            <w:tcBorders>
              <w:top w:val="single" w:color="CCCCCC" w:sz="1"/>
              <w:left w:val="single" w:color="CCCCCC" w:sz="1"/>
              <w:bottom w:val="single" w:color="CCCCCC" w:sz="1"/>
              <w:right w:val="single" w:color="CCCCCC" w:sz="1"/>
            </w:tcBorders>
            <w:shd w:fill="FFFACC" w:val="clear"/>
            <w:tcMar>
              <w:top w:type="dxa" w:w="80"/>
              <w:left w:type="dxa" w:w="120"/>
              <w:bottom w:type="dxa" w:w="80"/>
              <w:right w:type="dxa" w:w="120"/>
            </w:tcMar>
            <w:vAlign w:val="center"/>
          </w:tcPr>
          <w:p>
            <w:pPr>
              <w:jc w:val="center"/>
            </w:pPr>
            <w:r>
              <w:rPr>
                <w:rFonts w:ascii="Arial" w:cs="Arial" w:eastAsia="Arial" w:hAnsi="Arial"/>
                <w:b/>
                <w:bCs/>
                <w:color w:val="9A7D0A"/>
                <w:sz w:val="18"/>
                <w:szCs w:val="18"/>
              </w:rPr>
              <w:t xml:space="preserve">Medium</w:t>
            </w:r>
          </w:p>
        </w:tc>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IT Mgr</w:t>
            </w:r>
          </w:p>
        </w:tc>
      </w:tr>
      <w:tr>
        <w:tc>
          <w:tcPr>
            <w:tcW w:type="dxa" w:w="624"/>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R-007</w:t>
            </w:r>
          </w:p>
        </w:tc>
        <w:tc>
          <w:tcPr>
            <w:tcW w:type="dxa" w:w="2574"/>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System misconfiguration exploited due to absent CIS hardening baselines</w:t>
            </w:r>
          </w:p>
        </w:tc>
        <w:tc>
          <w:tcPr>
            <w:tcW w:type="dxa" w:w="93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Possible (3)</w:t>
            </w:r>
          </w:p>
        </w:tc>
        <w:tc>
          <w:tcPr>
            <w:tcW w:type="dxa" w:w="93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Moderate (3)</w:t>
            </w:r>
          </w:p>
        </w:tc>
        <w:tc>
          <w:tcPr>
            <w:tcW w:type="dxa" w:w="1170"/>
            <w:tcBorders>
              <w:top w:val="single" w:color="CCCCCC" w:sz="1"/>
              <w:left w:val="single" w:color="CCCCCC" w:sz="1"/>
              <w:bottom w:val="single" w:color="CCCCCC" w:sz="1"/>
              <w:right w:val="single" w:color="CCCCCC" w:sz="1"/>
            </w:tcBorders>
            <w:shd w:fill="FFFACC" w:val="clear"/>
            <w:tcMar>
              <w:top w:type="dxa" w:w="80"/>
              <w:left w:type="dxa" w:w="120"/>
              <w:bottom w:type="dxa" w:w="80"/>
              <w:right w:type="dxa" w:w="120"/>
            </w:tcMar>
            <w:vAlign w:val="center"/>
          </w:tcPr>
          <w:p>
            <w:pPr>
              <w:jc w:val="center"/>
            </w:pPr>
            <w:r>
              <w:rPr>
                <w:rFonts w:ascii="Arial" w:cs="Arial" w:eastAsia="Arial" w:hAnsi="Arial"/>
                <w:b/>
                <w:bCs/>
                <w:color w:val="9A7D0A"/>
                <w:sz w:val="18"/>
                <w:szCs w:val="18"/>
              </w:rPr>
              <w:t xml:space="preserve">Medium</w:t>
            </w:r>
          </w:p>
        </w:tc>
        <w:tc>
          <w:tcPr>
            <w:tcW w:type="dxa" w:w="1404"/>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AWS default configs</w:t>
            </w:r>
          </w:p>
        </w:tc>
        <w:tc>
          <w:tcPr>
            <w:tcW w:type="dxa" w:w="1170"/>
            <w:tcBorders>
              <w:top w:val="single" w:color="CCCCCC" w:sz="1"/>
              <w:left w:val="single" w:color="CCCCCC" w:sz="1"/>
              <w:bottom w:val="single" w:color="CCCCCC" w:sz="1"/>
              <w:right w:val="single" w:color="CCCCCC" w:sz="1"/>
            </w:tcBorders>
            <w:shd w:fill="FFFACC" w:val="clear"/>
            <w:tcMar>
              <w:top w:type="dxa" w:w="80"/>
              <w:left w:type="dxa" w:w="120"/>
              <w:bottom w:type="dxa" w:w="80"/>
              <w:right w:type="dxa" w:w="120"/>
            </w:tcMar>
            <w:vAlign w:val="center"/>
          </w:tcPr>
          <w:p>
            <w:pPr>
              <w:jc w:val="center"/>
            </w:pPr>
            <w:r>
              <w:rPr>
                <w:rFonts w:ascii="Arial" w:cs="Arial" w:eastAsia="Arial" w:hAnsi="Arial"/>
                <w:b/>
                <w:bCs/>
                <w:color w:val="9A7D0A"/>
                <w:sz w:val="18"/>
                <w:szCs w:val="18"/>
              </w:rPr>
              <w:t xml:space="preserve">Medium</w:t>
            </w:r>
          </w:p>
        </w:tc>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IT Mgr</w:t>
            </w:r>
          </w:p>
        </w:tc>
      </w:tr>
      <w:tr>
        <w:tc>
          <w:tcPr>
            <w:tcW w:type="dxa" w:w="62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R-008</w:t>
            </w:r>
          </w:p>
        </w:tc>
        <w:tc>
          <w:tcPr>
            <w:tcW w:type="dxa" w:w="257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Third-party service provider breach impacting WhaleAX data</w:t>
            </w:r>
          </w:p>
        </w:tc>
        <w:tc>
          <w:tcPr>
            <w:tcW w:type="dxa" w:w="93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Unlikely (2)</w:t>
            </w:r>
          </w:p>
        </w:tc>
        <w:tc>
          <w:tcPr>
            <w:tcW w:type="dxa" w:w="93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Major (4)</w:t>
            </w:r>
          </w:p>
        </w:tc>
        <w:tc>
          <w:tcPr>
            <w:tcW w:type="dxa" w:w="1170"/>
            <w:tcBorders>
              <w:top w:val="single" w:color="CCCCCC" w:sz="1"/>
              <w:left w:val="single" w:color="CCCCCC" w:sz="1"/>
              <w:bottom w:val="single" w:color="CCCCCC" w:sz="1"/>
              <w:right w:val="single" w:color="CCCCCC" w:sz="1"/>
            </w:tcBorders>
            <w:shd w:fill="FFFACC" w:val="clear"/>
            <w:tcMar>
              <w:top w:type="dxa" w:w="80"/>
              <w:left w:type="dxa" w:w="120"/>
              <w:bottom w:type="dxa" w:w="80"/>
              <w:right w:type="dxa" w:w="120"/>
            </w:tcMar>
            <w:vAlign w:val="center"/>
          </w:tcPr>
          <w:p>
            <w:pPr>
              <w:jc w:val="center"/>
            </w:pPr>
            <w:r>
              <w:rPr>
                <w:rFonts w:ascii="Arial" w:cs="Arial" w:eastAsia="Arial" w:hAnsi="Arial"/>
                <w:b/>
                <w:bCs/>
                <w:color w:val="9A7D0A"/>
                <w:sz w:val="18"/>
                <w:szCs w:val="18"/>
              </w:rPr>
              <w:t xml:space="preserve">Medium</w:t>
            </w:r>
          </w:p>
        </w:tc>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SOC 2 reports reviewed</w:t>
            </w:r>
          </w:p>
        </w:tc>
        <w:tc>
          <w:tcPr>
            <w:tcW w:type="dxa" w:w="1170"/>
            <w:tcBorders>
              <w:top w:val="single" w:color="CCCCCC" w:sz="1"/>
              <w:left w:val="single" w:color="CCCCCC" w:sz="1"/>
              <w:bottom w:val="single" w:color="CCCCCC" w:sz="1"/>
              <w:right w:val="single" w:color="CCCCCC" w:sz="1"/>
            </w:tcBorders>
            <w:shd w:fill="FFFACC" w:val="clear"/>
            <w:tcMar>
              <w:top w:type="dxa" w:w="80"/>
              <w:left w:type="dxa" w:w="120"/>
              <w:bottom w:type="dxa" w:w="80"/>
              <w:right w:type="dxa" w:w="120"/>
            </w:tcMar>
            <w:vAlign w:val="center"/>
          </w:tcPr>
          <w:p>
            <w:pPr>
              <w:jc w:val="center"/>
            </w:pPr>
            <w:r>
              <w:rPr>
                <w:rFonts w:ascii="Arial" w:cs="Arial" w:eastAsia="Arial" w:hAnsi="Arial"/>
                <w:b/>
                <w:bCs/>
                <w:color w:val="9A7D0A"/>
                <w:sz w:val="18"/>
                <w:szCs w:val="18"/>
              </w:rPr>
              <w:t xml:space="preserve">Medium</w:t>
            </w:r>
          </w:p>
        </w:tc>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CCO</w:t>
            </w:r>
          </w:p>
        </w:tc>
      </w:tr>
      <w:tr>
        <w:tc>
          <w:tcPr>
            <w:tcW w:type="dxa" w:w="624"/>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R-009</w:t>
            </w:r>
          </w:p>
        </w:tc>
        <w:tc>
          <w:tcPr>
            <w:tcW w:type="dxa" w:w="2574"/>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Network segmentation failure enabling lateral movement into CDE</w:t>
            </w:r>
          </w:p>
        </w:tc>
        <w:tc>
          <w:tcPr>
            <w:tcW w:type="dxa" w:w="93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Unlikely (2)</w:t>
            </w:r>
          </w:p>
        </w:tc>
        <w:tc>
          <w:tcPr>
            <w:tcW w:type="dxa" w:w="93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Major (4)</w:t>
            </w:r>
          </w:p>
        </w:tc>
        <w:tc>
          <w:tcPr>
            <w:tcW w:type="dxa" w:w="1170"/>
            <w:tcBorders>
              <w:top w:val="single" w:color="CCCCCC" w:sz="1"/>
              <w:left w:val="single" w:color="CCCCCC" w:sz="1"/>
              <w:bottom w:val="single" w:color="CCCCCC" w:sz="1"/>
              <w:right w:val="single" w:color="CCCCCC" w:sz="1"/>
            </w:tcBorders>
            <w:shd w:fill="FFFACC" w:val="clear"/>
            <w:tcMar>
              <w:top w:type="dxa" w:w="80"/>
              <w:left w:type="dxa" w:w="120"/>
              <w:bottom w:type="dxa" w:w="80"/>
              <w:right w:type="dxa" w:w="120"/>
            </w:tcMar>
            <w:vAlign w:val="center"/>
          </w:tcPr>
          <w:p>
            <w:pPr>
              <w:jc w:val="center"/>
            </w:pPr>
            <w:r>
              <w:rPr>
                <w:rFonts w:ascii="Arial" w:cs="Arial" w:eastAsia="Arial" w:hAnsi="Arial"/>
                <w:b/>
                <w:bCs/>
                <w:color w:val="9A7D0A"/>
                <w:sz w:val="18"/>
                <w:szCs w:val="18"/>
              </w:rPr>
              <w:t xml:space="preserve">Medium</w:t>
            </w:r>
          </w:p>
        </w:tc>
        <w:tc>
          <w:tcPr>
            <w:tcW w:type="dxa" w:w="1404"/>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VPC isolation (untested)</w:t>
            </w:r>
          </w:p>
        </w:tc>
        <w:tc>
          <w:tcPr>
            <w:tcW w:type="dxa" w:w="1170"/>
            <w:tcBorders>
              <w:top w:val="single" w:color="CCCCCC" w:sz="1"/>
              <w:left w:val="single" w:color="CCCCCC" w:sz="1"/>
              <w:bottom w:val="single" w:color="CCCCCC" w:sz="1"/>
              <w:right w:val="single" w:color="CCCCCC" w:sz="1"/>
            </w:tcBorders>
            <w:shd w:fill="FFE8CC" w:val="clear"/>
            <w:tcMar>
              <w:top w:type="dxa" w:w="80"/>
              <w:left w:type="dxa" w:w="120"/>
              <w:bottom w:type="dxa" w:w="80"/>
              <w:right w:type="dxa" w:w="120"/>
            </w:tcMar>
            <w:vAlign w:val="center"/>
          </w:tcPr>
          <w:p>
            <w:pPr>
              <w:jc w:val="center"/>
            </w:pPr>
            <w:r>
              <w:rPr>
                <w:rFonts w:ascii="Arial" w:cs="Arial" w:eastAsia="Arial" w:hAnsi="Arial"/>
                <w:b/>
                <w:bCs/>
                <w:color w:val="CC5500"/>
                <w:sz w:val="18"/>
                <w:szCs w:val="18"/>
              </w:rPr>
              <w:t xml:space="preserve">High</w:t>
            </w:r>
          </w:p>
        </w:tc>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IT Mgr</w:t>
            </w:r>
          </w:p>
        </w:tc>
      </w:tr>
      <w:tr>
        <w:tc>
          <w:tcPr>
            <w:tcW w:type="dxa" w:w="62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R-010</w:t>
            </w:r>
          </w:p>
        </w:tc>
        <w:tc>
          <w:tcPr>
            <w:tcW w:type="dxa" w:w="257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Evidence retention gap resulting in audit failure or regulatory penalty</w:t>
            </w:r>
          </w:p>
        </w:tc>
        <w:tc>
          <w:tcPr>
            <w:tcW w:type="dxa" w:w="93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Likely (4)</w:t>
            </w:r>
          </w:p>
        </w:tc>
        <w:tc>
          <w:tcPr>
            <w:tcW w:type="dxa" w:w="93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Minor (2)</w:t>
            </w:r>
          </w:p>
        </w:tc>
        <w:tc>
          <w:tcPr>
            <w:tcW w:type="dxa" w:w="1170"/>
            <w:tcBorders>
              <w:top w:val="single" w:color="CCCCCC" w:sz="1"/>
              <w:left w:val="single" w:color="CCCCCC" w:sz="1"/>
              <w:bottom w:val="single" w:color="CCCCCC" w:sz="1"/>
              <w:right w:val="single" w:color="CCCCCC" w:sz="1"/>
            </w:tcBorders>
            <w:shd w:fill="FFFACC" w:val="clear"/>
            <w:tcMar>
              <w:top w:type="dxa" w:w="80"/>
              <w:left w:type="dxa" w:w="120"/>
              <w:bottom w:type="dxa" w:w="80"/>
              <w:right w:type="dxa" w:w="120"/>
            </w:tcMar>
            <w:vAlign w:val="center"/>
          </w:tcPr>
          <w:p>
            <w:pPr>
              <w:jc w:val="center"/>
            </w:pPr>
            <w:r>
              <w:rPr>
                <w:rFonts w:ascii="Arial" w:cs="Arial" w:eastAsia="Arial" w:hAnsi="Arial"/>
                <w:b/>
                <w:bCs/>
                <w:color w:val="9A7D0A"/>
                <w:sz w:val="18"/>
                <w:szCs w:val="18"/>
              </w:rPr>
              <w:t xml:space="preserve">Medium</w:t>
            </w:r>
          </w:p>
        </w:tc>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CloudWatch (9 months)</w:t>
            </w:r>
          </w:p>
        </w:tc>
        <w:tc>
          <w:tcPr>
            <w:tcW w:type="dxa" w:w="117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Low</w:t>
            </w:r>
          </w:p>
        </w:tc>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CCO</w:t>
            </w:r>
          </w:p>
        </w:tc>
      </w:tr>
    </w:tbl>
    <w:p>
      <w:pPr>
        <w:spacing w:after="120" w:before="120"/>
      </w:pPr>
      <w:r>
        <w:t xml:space="preserve"/>
      </w:r>
    </w:p>
    <w:p>
      <w:pPr>
        <w:pStyle w:val="Heading1"/>
        <w:pBdr>
          <w:bottom w:val="single" w:color="2E75B6" w:sz="6" w:space="4"/>
        </w:pBdr>
        <w:spacing w:after="120" w:before="360"/>
      </w:pPr>
      <w:r>
        <w:rPr>
          <w:rFonts w:ascii="Arial" w:cs="Arial" w:eastAsia="Arial" w:hAnsi="Arial"/>
          <w:b/>
          <w:bCs/>
          <w:color w:val="1B3A6B"/>
          <w:sz w:val="36"/>
          <w:szCs w:val="36"/>
        </w:rPr>
        <w:t xml:space="preserve">2. Risk Treatment Recommendations</w:t>
      </w:r>
    </w:p>
    <w:p>
      <w:pPr>
        <w:pStyle w:val="Heading2"/>
        <w:spacing w:after="80" w:before="240"/>
      </w:pPr>
      <w:r>
        <w:rPr>
          <w:rFonts w:ascii="Arial" w:cs="Arial" w:eastAsia="Arial" w:hAnsi="Arial"/>
          <w:b/>
          <w:bCs/>
          <w:color w:val="2E75B6"/>
          <w:sz w:val="28"/>
          <w:szCs w:val="28"/>
        </w:rPr>
        <w:t xml:space="preserve">2.1 Critical Risks – Immediate Mitigation Required</w:t>
      </w:r>
    </w:p>
    <w:p>
      <w:pPr>
        <w:pStyle w:val="ListParagraph"/>
        <w:numPr>
          <w:ilvl w:val="0"/>
          <w:numId w:val="2"/>
        </w:numPr>
        <w:spacing w:after="40" w:before="40"/>
      </w:pPr>
      <w:r>
        <w:rPr>
          <w:rFonts w:ascii="Arial" w:cs="Arial" w:eastAsia="Arial" w:hAnsi="Arial"/>
          <w:sz w:val="22"/>
          <w:szCs w:val="22"/>
        </w:rPr>
        <w:t xml:space="preserve">R-001 (Patch Management): Accept no further delay. Emergency change management process for CVE-2024-21413, CVE-2024-38077, CVE-2024-47176. Deploy AWS WAF as interim compensating control.</w:t>
      </w:r>
    </w:p>
    <w:p>
      <w:pPr>
        <w:pStyle w:val="ListParagraph"/>
        <w:numPr>
          <w:ilvl w:val="0"/>
          <w:numId w:val="2"/>
        </w:numPr>
        <w:spacing w:after="40" w:before="40"/>
      </w:pPr>
      <w:r>
        <w:rPr>
          <w:rFonts w:ascii="Arial" w:cs="Arial" w:eastAsia="Arial" w:hAnsi="Arial"/>
          <w:sz w:val="22"/>
          <w:szCs w:val="22"/>
        </w:rPr>
        <w:t xml:space="preserve">R-003 (Access Control): Immediate revocation of excessive analyst and DBA privileges. Mandatory access recertification. Service account credential reset and individualization.</w:t>
      </w:r>
    </w:p>
    <w:p>
      <w:pPr>
        <w:spacing w:after="60" w:before="60"/>
      </w:pPr>
      <w:r>
        <w:t xml:space="preserve"/>
      </w:r>
    </w:p>
    <w:p>
      <w:pPr>
        <w:pStyle w:val="Heading2"/>
        <w:spacing w:after="80" w:before="240"/>
      </w:pPr>
      <w:r>
        <w:rPr>
          <w:rFonts w:ascii="Arial" w:cs="Arial" w:eastAsia="Arial" w:hAnsi="Arial"/>
          <w:b/>
          <w:bCs/>
          <w:color w:val="2E75B6"/>
          <w:sz w:val="28"/>
          <w:szCs w:val="28"/>
        </w:rPr>
        <w:t xml:space="preserve">2.2 High Risks – 30–90 Day Remediation Required</w:t>
      </w:r>
    </w:p>
    <w:p>
      <w:pPr>
        <w:pStyle w:val="ListParagraph"/>
        <w:numPr>
          <w:ilvl w:val="0"/>
          <w:numId w:val="2"/>
        </w:numPr>
        <w:spacing w:after="40" w:before="40"/>
      </w:pPr>
      <w:r>
        <w:rPr>
          <w:rFonts w:ascii="Arial" w:cs="Arial" w:eastAsia="Arial" w:hAnsi="Arial"/>
          <w:sz w:val="22"/>
          <w:szCs w:val="22"/>
        </w:rPr>
        <w:t xml:space="preserve">R-002 (Firewall Review): Complete outstanding Q4 2024 and Q1 2025 reviews. Implement quarterly review calendar and formal SOP.</w:t>
      </w:r>
    </w:p>
    <w:p>
      <w:pPr>
        <w:pStyle w:val="ListParagraph"/>
        <w:numPr>
          <w:ilvl w:val="0"/>
          <w:numId w:val="2"/>
        </w:numPr>
        <w:spacing w:after="40" w:before="40"/>
      </w:pPr>
      <w:r>
        <w:rPr>
          <w:rFonts w:ascii="Arial" w:cs="Arial" w:eastAsia="Arial" w:hAnsi="Arial"/>
          <w:sz w:val="22"/>
          <w:szCs w:val="22"/>
        </w:rPr>
        <w:t xml:space="preserve">R-004 (Log Review): Formalize daily log review procedures with documented evidence. Implement SIEM alert-to-ticket workflow.</w:t>
      </w:r>
    </w:p>
    <w:p>
      <w:pPr>
        <w:pStyle w:val="ListParagraph"/>
        <w:numPr>
          <w:ilvl w:val="0"/>
          <w:numId w:val="2"/>
        </w:numPr>
        <w:spacing w:after="40" w:before="40"/>
      </w:pPr>
      <w:r>
        <w:rPr>
          <w:rFonts w:ascii="Arial" w:cs="Arial" w:eastAsia="Arial" w:hAnsi="Arial"/>
          <w:sz w:val="22"/>
          <w:szCs w:val="22"/>
        </w:rPr>
        <w:t xml:space="preserve">R-005 (Service Accounts): Eliminate all shared credentials. Implement privileged account management (PAM) solution.</w:t>
      </w:r>
    </w:p>
    <w:p>
      <w:pPr>
        <w:pStyle w:val="ListParagraph"/>
        <w:numPr>
          <w:ilvl w:val="0"/>
          <w:numId w:val="2"/>
        </w:numPr>
        <w:spacing w:after="40" w:before="40"/>
      </w:pPr>
      <w:r>
        <w:rPr>
          <w:rFonts w:ascii="Arial" w:cs="Arial" w:eastAsia="Arial" w:hAnsi="Arial"/>
          <w:sz w:val="22"/>
          <w:szCs w:val="22"/>
        </w:rPr>
        <w:t xml:space="preserve">R-009 (Segmentation): Commission formal segmentation penetration test. Document and validate CDE boundary controls.</w:t>
      </w:r>
    </w:p>
    <w:p>
      <w:pPr>
        <w:spacing w:after="60" w:before="60"/>
      </w:pPr>
      <w:r>
        <w:t xml:space="preserve"/>
      </w:r>
    </w:p>
    <w:p>
      <w:pPr>
        <w:pStyle w:val="Heading2"/>
        <w:spacing w:after="80" w:before="240"/>
      </w:pPr>
      <w:r>
        <w:rPr>
          <w:rFonts w:ascii="Arial" w:cs="Arial" w:eastAsia="Arial" w:hAnsi="Arial"/>
          <w:b/>
          <w:bCs/>
          <w:color w:val="2E75B6"/>
          <w:sz w:val="28"/>
          <w:szCs w:val="28"/>
        </w:rPr>
        <w:t xml:space="preserve">2.3 Risk Acceptance Criteria</w:t>
      </w:r>
    </w:p>
    <w:p>
      <w:pPr>
        <w:spacing w:after="60" w:before="60"/>
      </w:pPr>
      <w:r>
        <w:rPr>
          <w:rFonts w:ascii="Arial" w:cs="Arial" w:eastAsia="Arial" w:hAnsi="Arial"/>
          <w:b w:val="false"/>
          <w:bCs w:val="false"/>
          <w:i w:val="false"/>
          <w:iCs w:val="false"/>
          <w:color w:val="1A1A1A"/>
          <w:sz w:val="22"/>
          <w:szCs w:val="22"/>
        </w:rPr>
        <w:t xml:space="preserve">Residual risks classified as Low following compensating controls may be formally accepted by the Chief Compliance Officer with documented business justification. All Medium, High, and Critical residual risks require an active remediation plan approved by the Executive Sponsor.</w:t>
      </w:r>
    </w:p>
    <w:p>
      <w:pPr>
        <w:spacing w:after="120" w:before="120"/>
      </w:pPr>
      <w:r>
        <w:t xml:space="preserve"/>
      </w:r>
    </w:p>
    <w:p>
      <w:pPr>
        <w:pStyle w:val="Heading1"/>
        <w:pBdr>
          <w:bottom w:val="single" w:color="2E75B6" w:sz="6" w:space="4"/>
        </w:pBdr>
        <w:spacing w:after="120" w:before="360"/>
      </w:pPr>
      <w:r>
        <w:rPr>
          <w:rFonts w:ascii="Arial" w:cs="Arial" w:eastAsia="Arial" w:hAnsi="Arial"/>
          <w:b/>
          <w:bCs/>
          <w:color w:val="1B3A6B"/>
          <w:sz w:val="36"/>
          <w:szCs w:val="36"/>
        </w:rPr>
        <w:t xml:space="preserve">3. Conclusions</w:t>
      </w:r>
    </w:p>
    <w:p>
      <w:pPr>
        <w:spacing w:after="60" w:before="60"/>
      </w:pPr>
      <w:r>
        <w:rPr>
          <w:rFonts w:ascii="Arial" w:cs="Arial" w:eastAsia="Arial" w:hAnsi="Arial"/>
          <w:b w:val="false"/>
          <w:bCs w:val="false"/>
          <w:i w:val="false"/>
          <w:iCs w:val="false"/>
          <w:color w:val="1A1A1A"/>
          <w:sz w:val="22"/>
          <w:szCs w:val="22"/>
        </w:rPr>
        <w:t xml:space="preserve">The overall risk exposure profile for WhaleAX is elevated, with 2 Critical and 7 High residual risks identified post-control analysis. The concentration of risk in access control, patch management, and logging domains represents the most significant area of concern for both PCI DSS compliance and the organization's general cybersecurity posture.</w:t>
      </w:r>
    </w:p>
    <w:p>
      <w:pPr>
        <w:spacing w:after="60" w:before="60"/>
      </w:pPr>
      <w:r>
        <w:t xml:space="preserve"/>
      </w:r>
    </w:p>
    <w:p>
      <w:pPr>
        <w:spacing w:after="60" w:before="60"/>
      </w:pPr>
      <w:r>
        <w:rPr>
          <w:rFonts w:ascii="Arial" w:cs="Arial" w:eastAsia="Arial" w:hAnsi="Arial"/>
          <w:b w:val="false"/>
          <w:bCs w:val="false"/>
          <w:i w:val="false"/>
          <w:iCs w:val="false"/>
          <w:color w:val="1A1A1A"/>
          <w:sz w:val="22"/>
          <w:szCs w:val="22"/>
        </w:rPr>
        <w:t xml:space="preserve">Immediate executive attention and resource commitment are required to address Critical-rated risks. Without timely remediation, WhaleAX faces material risk of control failure, compliance certification denial, and potential exposure to payment card brand penalties.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right" w:pos="9360"/>
      </w:tabs>
      <w:spacing w:before="100"/>
    </w:pPr>
    <w:r>
      <w:rPr>
        <w:rFonts w:ascii="Arial" w:cs="Arial" w:eastAsia="Arial" w:hAnsi="Arial"/>
        <w:color w:val="595959"/>
        <w:sz w:val="16"/>
        <w:szCs w:val="16"/>
      </w:rPr>
      <w:t xml:space="preserve">PCI DSS v4.0 Gap Assessment  |  Engagement Ref: WAX-PCI-2025-001  |  CONFIDENTIAL</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100"/>
    </w:pPr>
    <w:r>
      <w:rPr>
        <w:rFonts w:ascii="Arial" w:cs="Arial" w:eastAsia="Arial" w:hAnsi="Arial"/>
        <w:b/>
        <w:bCs/>
        <w:color w:val="595959"/>
        <w:sz w:val="18"/>
        <w:szCs w:val="18"/>
      </w:rPr>
      <w:t xml:space="preserve">CONFIDENTIAL | WhaleAX Financial Consulting Services Pvt Ltd</w:t>
    </w:r>
    <w:r>
      <w:rPr>
        <w:rFonts w:ascii="Arial" w:cs="Arial" w:eastAsia="Arial" w:hAnsi="Arial"/>
        <w:color w:val="2E75B6"/>
        <w:sz w:val="18"/>
        <w:szCs w:val="18"/>
      </w:rPr>
      <w:t xml:space="preserve">   |   Risk Assessment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6B"/>
      <w:sz w:val="36"/>
      <w:szCs w:val="36"/>
    </w:rPr>
  </w:style>
  <w:style w:type="paragraph" w:styleId="Heading2">
    <w:name w:val="Heading 2"/>
    <w:basedOn w:val="Normal"/>
    <w:next w:val="Normal"/>
    <w:qFormat/>
    <w:pPr>
      <w:spacing w:after="8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180"/>
      <w:outlineLvl w:val="2"/>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2026-05-30T05:00:09.770Z</dcterms:created>
  <dcterms:modified xsi:type="dcterms:W3CDTF">2026-05-30T05:00:09.770Z</dcterms:modified>
</cp:coreProperties>
</file>

<file path=docProps/custom.xml><?xml version="1.0" encoding="utf-8"?>
<Properties xmlns="http://schemas.openxmlformats.org/officeDocument/2006/custom-properties" xmlns:vt="http://schemas.openxmlformats.org/officeDocument/2006/docPropsVTypes"/>
</file>