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0"/>
        <w:jc w:val="center"/>
      </w:pPr>
      <w:r>
        <w:rPr>
          <w:rFonts w:ascii="Arial" w:cs="Arial" w:eastAsia="Arial" w:hAnsi="Arial"/>
          <w:b/>
          <w:bCs/>
          <w:color w:val="595959"/>
          <w:sz w:val="24"/>
          <w:szCs w:val="24"/>
        </w:rPr>
        <w:t xml:space="preserve">▮ WhaleAX Financial Consulting Services Pvt Ltd</w:t>
      </w:r>
    </w:p>
    <w:p>
      <w:pPr>
        <w:spacing w:after="120" w:before="480"/>
        <w:jc w:val="center"/>
      </w:pPr>
      <w:r>
        <w:rPr>
          <w:rFonts w:ascii="Arial" w:cs="Arial" w:eastAsia="Arial" w:hAnsi="Arial"/>
          <w:b/>
          <w:bCs/>
          <w:color w:val="1B3A6B"/>
          <w:sz w:val="52"/>
          <w:szCs w:val="52"/>
        </w:rPr>
        <w:t xml:space="preserve">Security Governance Documentation</w:t>
      </w:r>
    </w:p>
    <w:p>
      <w:pPr>
        <w:spacing w:after="480" w:before="120"/>
        <w:jc w:val="center"/>
      </w:pPr>
      <w:r>
        <w:rPr>
          <w:rFonts w:ascii="Arial" w:cs="Arial" w:eastAsia="Arial" w:hAnsi="Arial"/>
          <w:b w:val="false"/>
          <w:bCs w:val="false"/>
          <w:color w:val="595959"/>
          <w:sz w:val="28"/>
          <w:szCs w:val="28"/>
        </w:rPr>
        <w:t xml:space="preserve">Thematic Review – Access Control, Firewall, Logging,
Vulnerability Management &amp; Secure Configuration</w:t>
      </w:r>
    </w:p>
    <w:p>
      <w:pPr>
        <w:spacing w:after="60" w:before="240"/>
        <w:jc w:val="center"/>
      </w:pPr>
      <w:r>
        <w:rPr>
          <w:rFonts w:ascii="Arial" w:cs="Arial" w:eastAsia="Arial" w:hAnsi="Arial"/>
          <w:b/>
          <w:bCs/>
          <w:color w:val="2E75B6"/>
          <w:sz w:val="24"/>
          <w:szCs w:val="24"/>
        </w:rPr>
        <w:t xml:space="preserve">PCI DSS v4.0 Gap Assessment Engagement</w:t>
      </w:r>
    </w:p>
    <w:p>
      <w:pPr>
        <w:spacing w:after="60" w:before="4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Classification:</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C00000"/>
                <w:sz w:val="20"/>
                <w:szCs w:val="20"/>
              </w:rPr>
              <w:t xml:space="preserve">CONFIDENTIAL – RESTRICTED</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Document Version:</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v1.0 – FINAL</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Assessment Date:</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June 23, 2025</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Prepared By:</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PCI DSS Assessment &amp; Assurance Practice</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Engagement Reference:</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WAX-PCI-2025-001</w:t>
            </w:r>
          </w:p>
        </w:tc>
      </w:tr>
    </w:tbl>
    <w:p>
      <w:r>
        <w:br w:type="page"/>
      </w:r>
    </w:p>
    <w:p>
      <w:pPr>
        <w:pStyle w:val="Heading1"/>
        <w:pBdr>
          <w:bottom w:val="single" w:color="2E75B6" w:sz="6" w:space="4"/>
        </w:pBdr>
        <w:spacing w:after="120" w:before="360"/>
      </w:pPr>
      <w:r>
        <w:rPr>
          <w:rFonts w:ascii="Arial" w:cs="Arial" w:eastAsia="Arial" w:hAnsi="Arial"/>
          <w:b/>
          <w:bCs/>
          <w:color w:val="1B3A6B"/>
          <w:sz w:val="36"/>
          <w:szCs w:val="36"/>
        </w:rPr>
        <w:t xml:space="preserve">1. Access Control Review</w:t>
      </w:r>
    </w:p>
    <w:p>
      <w:pPr>
        <w:pStyle w:val="Heading2"/>
        <w:spacing w:after="80" w:before="240"/>
      </w:pPr>
      <w:r>
        <w:rPr>
          <w:rFonts w:ascii="Arial" w:cs="Arial" w:eastAsia="Arial" w:hAnsi="Arial"/>
          <w:b/>
          <w:bCs/>
          <w:color w:val="2E75B6"/>
          <w:sz w:val="28"/>
          <w:szCs w:val="28"/>
        </w:rPr>
        <w:t xml:space="preserve">1.1 Review Scope and Objectives</w:t>
      </w:r>
    </w:p>
    <w:p>
      <w:pPr>
        <w:spacing w:after="60" w:before="60"/>
      </w:pPr>
      <w:r>
        <w:rPr>
          <w:rFonts w:ascii="Arial" w:cs="Arial" w:eastAsia="Arial" w:hAnsi="Arial"/>
          <w:b w:val="false"/>
          <w:bCs w:val="false"/>
          <w:i w:val="false"/>
          <w:iCs w:val="false"/>
          <w:color w:val="1A1A1A"/>
          <w:sz w:val="22"/>
          <w:szCs w:val="22"/>
        </w:rPr>
        <w:t xml:space="preserve">The Access Control Review evaluates WhaleAX's compliance with PCI DSS v4.0 Requirements 7 (Access Control) and 8 (Authentication) across all in-scope system components. The review assessed identity provisioning, access recertification, privilege management, service account governance, and multi-factor authentication enforcement.</w:t>
      </w:r>
    </w:p>
    <w:p>
      <w:pPr>
        <w:spacing w:after="120" w:before="120"/>
      </w:pPr>
      <w:r>
        <w:t xml:space="preserve"/>
      </w:r>
    </w:p>
    <w:p>
      <w:pPr>
        <w:pStyle w:val="Heading2"/>
        <w:spacing w:after="80" w:before="240"/>
      </w:pPr>
      <w:r>
        <w:rPr>
          <w:rFonts w:ascii="Arial" w:cs="Arial" w:eastAsia="Arial" w:hAnsi="Arial"/>
          <w:b/>
          <w:bCs/>
          <w:color w:val="2E75B6"/>
          <w:sz w:val="28"/>
          <w:szCs w:val="28"/>
        </w:rPr>
        <w:t xml:space="preserve">1.2 Control Assessment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744"/>
        <w:gridCol w:w="1872"/>
        <w:gridCol w:w="1404"/>
        <w:gridCol w:w="1170"/>
      </w:tblGrid>
      <w:tr>
        <w:tc>
          <w:tcPr>
            <w:tcW w:type="dxa" w:w="117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Control ID</w:t>
            </w:r>
          </w:p>
        </w:tc>
        <w:tc>
          <w:tcPr>
            <w:tcW w:type="dxa" w:w="374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Control Description</w:t>
            </w:r>
          </w:p>
        </w:tc>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PCI DSS Req</w:t>
            </w:r>
          </w:p>
        </w:tc>
        <w:tc>
          <w:tcPr>
            <w:tcW w:type="dxa" w:w="140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c>
          <w:tcPr>
            <w:tcW w:type="dxa" w:w="117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Finding</w:t>
            </w:r>
          </w:p>
        </w:tc>
      </w:tr>
      <w:tr>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AC-001</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Access provisioning follows documented request and approval process</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7.2.1</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Partial</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F-003</w:t>
            </w:r>
          </w:p>
        </w:tc>
      </w:tr>
      <w:tr>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AC-002</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Least privilege enforced for all user accounts</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7.2.1</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F-003</w:t>
            </w:r>
          </w:p>
        </w:tc>
      </w:tr>
      <w:tr>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AC-003</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Access recertification conducted at minimum annually</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7.2.4</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F-003</w:t>
            </w:r>
          </w:p>
        </w:tc>
      </w:tr>
      <w:tr>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AC-004</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Unique user IDs assigned to all system users</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8.2.1</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Compliant</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None</w:t>
            </w:r>
          </w:p>
        </w:tc>
      </w:tr>
      <w:tr>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AC-005</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shared or generic user accounts in CDE</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8.2.2</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F-006</w:t>
            </w:r>
          </w:p>
        </w:tc>
      </w:tr>
      <w:tr>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AC-006</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MFA enforced for all non-console access to CDE</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8.4.1</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Compliant</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None</w:t>
            </w:r>
          </w:p>
        </w:tc>
      </w:tr>
      <w:tr>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AC-007</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MFA enforced for all remote network access</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8.4.2</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Compliant</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None</w:t>
            </w:r>
          </w:p>
        </w:tc>
      </w:tr>
      <w:tr>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AC-008</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Service account credentials managed and rotated</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8.6.1</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F-006</w:t>
            </w:r>
          </w:p>
        </w:tc>
      </w:tr>
      <w:tr>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AC-009</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Inactive accounts disabled within 90 days</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8.2.6</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Partial</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None</w:t>
            </w:r>
          </w:p>
        </w:tc>
      </w:tr>
      <w:tr>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AC-010</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Admin access restricted to those with operational necessity</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7.2.2</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Partial</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F-003</w:t>
            </w:r>
          </w:p>
        </w:tc>
      </w:tr>
    </w:tbl>
    <w:p>
      <w:pPr>
        <w:spacing w:after="120" w:before="120"/>
      </w:pPr>
      <w:r>
        <w:t xml:space="preserve"/>
      </w:r>
    </w:p>
    <w:p>
      <w:pPr>
        <w:pStyle w:val="Heading2"/>
        <w:spacing w:after="80" w:before="240"/>
      </w:pPr>
      <w:r>
        <w:rPr>
          <w:rFonts w:ascii="Arial" w:cs="Arial" w:eastAsia="Arial" w:hAnsi="Arial"/>
          <w:b/>
          <w:bCs/>
          <w:color w:val="2E75B6"/>
          <w:sz w:val="28"/>
          <w:szCs w:val="28"/>
        </w:rPr>
        <w:t xml:space="preserve">1.3 Key Observations</w:t>
      </w:r>
    </w:p>
    <w:p>
      <w:pPr>
        <w:pStyle w:val="ListParagraph"/>
        <w:numPr>
          <w:ilvl w:val="0"/>
          <w:numId w:val="2"/>
        </w:numPr>
        <w:spacing w:after="40" w:before="40"/>
      </w:pPr>
      <w:r>
        <w:rPr>
          <w:rFonts w:ascii="Arial" w:cs="Arial" w:eastAsia="Arial" w:hAnsi="Arial"/>
          <w:sz w:val="22"/>
          <w:szCs w:val="22"/>
        </w:rPr>
        <w:t xml:space="preserve">MFA enforcement via Okta (WAX-MFA-01) is operating effectively for all VPN and remote access scenarios. This is a genuine compliance strength.</w:t>
      </w:r>
    </w:p>
    <w:p>
      <w:pPr>
        <w:pStyle w:val="ListParagraph"/>
        <w:numPr>
          <w:ilvl w:val="0"/>
          <w:numId w:val="2"/>
        </w:numPr>
        <w:spacing w:after="40" w:before="40"/>
      </w:pPr>
      <w:r>
        <w:rPr>
          <w:rFonts w:ascii="Arial" w:cs="Arial" w:eastAsia="Arial" w:hAnsi="Arial"/>
          <w:sz w:val="22"/>
          <w:szCs w:val="22"/>
        </w:rPr>
        <w:t xml:space="preserve">The provisioning process lacks documented approval workflows in the ITSM system; access is granted informally via email approval with no formal ticket trail.</w:t>
      </w:r>
    </w:p>
    <w:p>
      <w:pPr>
        <w:pStyle w:val="ListParagraph"/>
        <w:numPr>
          <w:ilvl w:val="0"/>
          <w:numId w:val="2"/>
        </w:numPr>
        <w:spacing w:after="40" w:before="40"/>
      </w:pPr>
      <w:r>
        <w:rPr>
          <w:rFonts w:ascii="Arial" w:cs="Arial" w:eastAsia="Arial" w:hAnsi="Arial"/>
          <w:sz w:val="22"/>
          <w:szCs w:val="22"/>
        </w:rPr>
        <w:t xml:space="preserve">Database access controls are the most significant gap: 14 analyst accounts have read/write where read-only is sufficient, and 4 accounts hold DBA-level privileges without business justification.</w:t>
      </w:r>
    </w:p>
    <w:p>
      <w:pPr>
        <w:pStyle w:val="ListParagraph"/>
        <w:numPr>
          <w:ilvl w:val="0"/>
          <w:numId w:val="2"/>
        </w:numPr>
        <w:spacing w:after="40" w:before="40"/>
      </w:pPr>
      <w:r>
        <w:rPr>
          <w:rFonts w:ascii="Arial" w:cs="Arial" w:eastAsia="Arial" w:hAnsi="Arial"/>
          <w:sz w:val="22"/>
          <w:szCs w:val="22"/>
        </w:rPr>
        <w:t xml:space="preserve">No access recertification has been conducted in the past 12 months. PCI DSS 7.2.4 requires at minimum an annual formal review.</w:t>
      </w:r>
    </w:p>
    <w:p>
      <w:pPr>
        <w:spacing w:after="120" w:before="120"/>
      </w:pPr>
      <w:r>
        <w:t xml:space="preserve"/>
      </w:r>
    </w:p>
    <w:p>
      <w:pPr>
        <w:pStyle w:val="Heading1"/>
        <w:pBdr>
          <w:bottom w:val="single" w:color="2E75B6" w:sz="6" w:space="4"/>
        </w:pBdr>
        <w:spacing w:after="120" w:before="360"/>
      </w:pPr>
      <w:r>
        <w:rPr>
          <w:rFonts w:ascii="Arial" w:cs="Arial" w:eastAsia="Arial" w:hAnsi="Arial"/>
          <w:b/>
          <w:bCs/>
          <w:color w:val="1B3A6B"/>
          <w:sz w:val="36"/>
          <w:szCs w:val="36"/>
        </w:rPr>
        <w:t xml:space="preserve">2. Firewall and Network Segmentation Review</w:t>
      </w:r>
    </w:p>
    <w:p>
      <w:pPr>
        <w:pStyle w:val="Heading2"/>
        <w:spacing w:after="80" w:before="240"/>
      </w:pPr>
      <w:r>
        <w:rPr>
          <w:rFonts w:ascii="Arial" w:cs="Arial" w:eastAsia="Arial" w:hAnsi="Arial"/>
          <w:b/>
          <w:bCs/>
          <w:color w:val="2E75B6"/>
          <w:sz w:val="28"/>
          <w:szCs w:val="28"/>
        </w:rPr>
        <w:t xml:space="preserve">2.1 Network Architecture Assessment</w:t>
      </w:r>
    </w:p>
    <w:p>
      <w:pPr>
        <w:spacing w:after="60" w:before="60"/>
      </w:pPr>
      <w:r>
        <w:rPr>
          <w:rFonts w:ascii="Arial" w:cs="Arial" w:eastAsia="Arial" w:hAnsi="Arial"/>
          <w:b w:val="false"/>
          <w:bCs w:val="false"/>
          <w:i w:val="false"/>
          <w:iCs w:val="false"/>
          <w:color w:val="1A1A1A"/>
          <w:sz w:val="22"/>
          <w:szCs w:val="22"/>
        </w:rPr>
        <w:t xml:space="preserve">The Firewall and Segmentation Review assessed the effectiveness of WhaleAX's network security controls in restricting unauthorized traffic flows to and from the CDE, and in validating that the CDE is adequately isolated from non-CDE environments.</w:t>
      </w:r>
    </w:p>
    <w:p>
      <w:pPr>
        <w:spacing w:after="120" w:before="120"/>
      </w:pPr>
      <w:r>
        <w:t xml:space="preserve"/>
      </w:r>
    </w:p>
    <w:p>
      <w:pPr>
        <w:pStyle w:val="Heading2"/>
        <w:spacing w:after="80" w:before="240"/>
      </w:pPr>
      <w:r>
        <w:rPr>
          <w:rFonts w:ascii="Arial" w:cs="Arial" w:eastAsia="Arial" w:hAnsi="Arial"/>
          <w:b/>
          <w:bCs/>
          <w:color w:val="2E75B6"/>
          <w:sz w:val="28"/>
          <w:szCs w:val="28"/>
        </w:rPr>
        <w:t xml:space="preserve">2.2 Control Assessment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744"/>
        <w:gridCol w:w="1872"/>
        <w:gridCol w:w="1404"/>
        <w:gridCol w:w="1170"/>
      </w:tblGrid>
      <w:tr>
        <w:tc>
          <w:tcPr>
            <w:tcW w:type="dxa" w:w="117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Control ID</w:t>
            </w:r>
          </w:p>
        </w:tc>
        <w:tc>
          <w:tcPr>
            <w:tcW w:type="dxa" w:w="374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Control Description</w:t>
            </w:r>
          </w:p>
        </w:tc>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PCI DSS Req</w:t>
            </w:r>
          </w:p>
        </w:tc>
        <w:tc>
          <w:tcPr>
            <w:tcW w:type="dxa" w:w="140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c>
          <w:tcPr>
            <w:tcW w:type="dxa" w:w="117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Finding</w:t>
            </w:r>
          </w:p>
        </w:tc>
      </w:tr>
      <w:tr>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FW-001</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Firewall installed between all wireless networks and CDE</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1.3.1</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Compliant</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None</w:t>
            </w:r>
          </w:p>
        </w:tc>
      </w:tr>
      <w:tr>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FW-002</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Inbound/outbound traffic restricted to necessary business communication</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1.3.2</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F-002</w:t>
            </w:r>
          </w:p>
        </w:tc>
      </w:tr>
      <w:tr>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FW-003</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Firewall rules reviewed at minimum every six months</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1.3.2</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F-002</w:t>
            </w:r>
          </w:p>
        </w:tc>
      </w:tr>
      <w:tr>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FW-004</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connections between untrusted and CDE networks restricted</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1.3.3</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Partial</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None</w:t>
            </w:r>
          </w:p>
        </w:tc>
      </w:tr>
      <w:tr>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FW-005</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Network segmentation implemented to isolate CDE</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1.4.1</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Partial</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F-004</w:t>
            </w:r>
          </w:p>
        </w:tc>
      </w:tr>
      <w:tr>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FW-006</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Segmentation validated via penetration testing (annual)</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1.4.2</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F-004</w:t>
            </w:r>
          </w:p>
        </w:tc>
      </w:tr>
      <w:tr>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FW-007</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Default-deny rule applied to all inbound CDE traffic</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1.3.4</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Compliant</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None</w:t>
            </w:r>
          </w:p>
        </w:tc>
      </w:tr>
      <w:tr>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FW-008</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Network diagram maintained and accurate</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1.2.3</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Partial</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None</w:t>
            </w:r>
          </w:p>
        </w:tc>
      </w:tr>
    </w:tbl>
    <w:p>
      <w:pPr>
        <w:spacing w:after="120" w:before="120"/>
      </w:pPr>
      <w:r>
        <w:t xml:space="preserve"/>
      </w:r>
    </w:p>
    <w:p>
      <w:pPr>
        <w:pStyle w:val="Heading1"/>
        <w:pBdr>
          <w:bottom w:val="single" w:color="2E75B6" w:sz="6" w:space="4"/>
        </w:pBdr>
        <w:spacing w:after="120" w:before="360"/>
      </w:pPr>
      <w:r>
        <w:rPr>
          <w:rFonts w:ascii="Arial" w:cs="Arial" w:eastAsia="Arial" w:hAnsi="Arial"/>
          <w:b/>
          <w:bCs/>
          <w:color w:val="1B3A6B"/>
          <w:sz w:val="36"/>
          <w:szCs w:val="36"/>
        </w:rPr>
        <w:t xml:space="preserve">3. Logging and Monitoring Review</w:t>
      </w:r>
    </w:p>
    <w:p>
      <w:pPr>
        <w:pStyle w:val="Heading2"/>
        <w:spacing w:after="80" w:before="240"/>
      </w:pPr>
      <w:r>
        <w:rPr>
          <w:rFonts w:ascii="Arial" w:cs="Arial" w:eastAsia="Arial" w:hAnsi="Arial"/>
          <w:b/>
          <w:bCs/>
          <w:color w:val="2E75B6"/>
          <w:sz w:val="28"/>
          <w:szCs w:val="28"/>
        </w:rPr>
        <w:t xml:space="preserve">3.1 Assessment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744"/>
        <w:gridCol w:w="1872"/>
        <w:gridCol w:w="1404"/>
        <w:gridCol w:w="1170"/>
      </w:tblGrid>
      <w:tr>
        <w:tc>
          <w:tcPr>
            <w:tcW w:type="dxa" w:w="117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Control ID</w:t>
            </w:r>
          </w:p>
        </w:tc>
        <w:tc>
          <w:tcPr>
            <w:tcW w:type="dxa" w:w="374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Control Description</w:t>
            </w:r>
          </w:p>
        </w:tc>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PCI DSS Req</w:t>
            </w:r>
          </w:p>
        </w:tc>
        <w:tc>
          <w:tcPr>
            <w:tcW w:type="dxa" w:w="140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c>
          <w:tcPr>
            <w:tcW w:type="dxa" w:w="117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Finding</w:t>
            </w:r>
          </w:p>
        </w:tc>
      </w:tr>
      <w:tr>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LOG-001</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Audit logs capture all required PCI DSS event types</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10.2.1</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Compliant</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None</w:t>
            </w:r>
          </w:p>
        </w:tc>
      </w:tr>
      <w:tr>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LOG-002</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Logs protected from modification and unauthorized access</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10.3.2</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Compliant</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None</w:t>
            </w:r>
          </w:p>
        </w:tc>
      </w:tr>
      <w:tr>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LOG-003</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Audit logs retained for minimum 12 months</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10.5.1</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F-009</w:t>
            </w:r>
          </w:p>
        </w:tc>
      </w:tr>
      <w:tr>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LOG-004</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Logs reviewed at minimum daily</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10.4.1</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F-005</w:t>
            </w:r>
          </w:p>
        </w:tc>
      </w:tr>
      <w:tr>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LOG-005</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Time synchronization implemented (NTP)</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10.6.1</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Compliant</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None</w:t>
            </w:r>
          </w:p>
        </w:tc>
      </w:tr>
      <w:tr>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LOG-006</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SIEM or automated alerting deployed for critical events</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10.7.1</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Partial</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F-005</w:t>
            </w:r>
          </w:p>
        </w:tc>
      </w:tr>
      <w:tr>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LOG-007</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Log review procedures documented and followed</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10.4.2</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c>
          <w:tcPr>
            <w:tcW w:type="dxa" w:w="117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F-005</w:t>
            </w:r>
          </w:p>
        </w:tc>
      </w:tr>
      <w:tr>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LOG-008</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Failures in audit log mechanisms detected and reported</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10.7.2</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Partial</w:t>
            </w:r>
          </w:p>
        </w:tc>
        <w:tc>
          <w:tcPr>
            <w:tcW w:type="dxa" w:w="11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None</w:t>
            </w:r>
          </w:p>
        </w:tc>
      </w:tr>
    </w:tbl>
    <w:p>
      <w:pPr>
        <w:spacing w:after="120" w:before="120"/>
      </w:pPr>
      <w:r>
        <w:t xml:space="preserve"/>
      </w:r>
    </w:p>
    <w:p>
      <w:pPr>
        <w:pStyle w:val="Heading2"/>
        <w:spacing w:after="80" w:before="240"/>
      </w:pPr>
      <w:r>
        <w:rPr>
          <w:rFonts w:ascii="Arial" w:cs="Arial" w:eastAsia="Arial" w:hAnsi="Arial"/>
          <w:b/>
          <w:bCs/>
          <w:color w:val="2E75B6"/>
          <w:sz w:val="28"/>
          <w:szCs w:val="28"/>
        </w:rPr>
        <w:t xml:space="preserve">3.2 Log Retention Gap Analysis</w:t>
      </w:r>
    </w:p>
    <w:p>
      <w:pPr>
        <w:spacing w:after="60" w:before="60"/>
      </w:pPr>
      <w:r>
        <w:rPr>
          <w:rFonts w:ascii="Arial" w:cs="Arial" w:eastAsia="Arial" w:hAnsi="Arial"/>
          <w:b w:val="false"/>
          <w:bCs w:val="false"/>
          <w:i w:val="false"/>
          <w:iCs w:val="false"/>
          <w:color w:val="1A1A1A"/>
          <w:sz w:val="22"/>
          <w:szCs w:val="22"/>
        </w:rPr>
        <w:t xml:space="preserve">Current SIEM (Splunk on WAX-SIEM-01) is configured with a 9-month retention policy. AWS CloudWatch Logs are configured with a 90-day retention period. PCI DSS v4.0 Requirement 10.5.1 mandates:</w:t>
      </w:r>
    </w:p>
    <w:p>
      <w:pPr>
        <w:pStyle w:val="ListParagraph"/>
        <w:numPr>
          <w:ilvl w:val="0"/>
          <w:numId w:val="2"/>
        </w:numPr>
        <w:spacing w:after="40" w:before="40"/>
      </w:pPr>
      <w:r>
        <w:rPr>
          <w:rFonts w:ascii="Arial" w:cs="Arial" w:eastAsia="Arial" w:hAnsi="Arial"/>
          <w:sz w:val="22"/>
          <w:szCs w:val="22"/>
        </w:rPr>
        <w:t xml:space="preserve">Audit log history for at least 12 months</w:t>
      </w:r>
    </w:p>
    <w:p>
      <w:pPr>
        <w:pStyle w:val="ListParagraph"/>
        <w:numPr>
          <w:ilvl w:val="0"/>
          <w:numId w:val="2"/>
        </w:numPr>
        <w:spacing w:after="40" w:before="40"/>
      </w:pPr>
      <w:r>
        <w:rPr>
          <w:rFonts w:ascii="Arial" w:cs="Arial" w:eastAsia="Arial" w:hAnsi="Arial"/>
          <w:sz w:val="22"/>
          <w:szCs w:val="22"/>
        </w:rPr>
        <w:t xml:space="preserve">At least the most recent 3 months available for immediate analysis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72"/>
        <w:gridCol w:w="1872"/>
        <w:gridCol w:w="2496"/>
      </w:tblGrid>
      <w:tr>
        <w:tc>
          <w:tcPr>
            <w:tcW w:type="dxa" w:w="312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Log Source</w:t>
            </w:r>
          </w:p>
        </w:tc>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Current Retention</w:t>
            </w:r>
          </w:p>
        </w:tc>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Required Retention</w:t>
            </w:r>
          </w:p>
        </w:tc>
        <w:tc>
          <w:tcPr>
            <w:tcW w:type="dxa" w:w="2496"/>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Gap</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Splunk SIEM (WAX-SIEM-01)</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9 months</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12 months</w:t>
            </w:r>
          </w:p>
        </w:tc>
        <w:tc>
          <w:tcPr>
            <w:tcW w:type="dxa" w:w="249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0000"/>
                <w:sz w:val="20"/>
                <w:szCs w:val="20"/>
              </w:rPr>
              <w:t xml:space="preserve">DEFICIENT – 3 months short</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AWS CloudWatch Logs</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90 days</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12 months</w:t>
            </w:r>
          </w:p>
        </w:tc>
        <w:tc>
          <w:tcPr>
            <w:tcW w:type="dxa" w:w="249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0000"/>
                <w:sz w:val="20"/>
                <w:szCs w:val="20"/>
              </w:rPr>
              <w:t xml:space="preserve">DEFICIENT – 9+ months short</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AWS VPC Flow Logs</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90 days</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12 months</w:t>
            </w:r>
          </w:p>
        </w:tc>
        <w:tc>
          <w:tcPr>
            <w:tcW w:type="dxa" w:w="249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0000"/>
                <w:sz w:val="20"/>
                <w:szCs w:val="20"/>
              </w:rPr>
              <w:t xml:space="preserve">DEFICIENT – 9+ months short</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AWS CloudTrail</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90 days</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12 months</w:t>
            </w:r>
          </w:p>
        </w:tc>
        <w:tc>
          <w:tcPr>
            <w:tcW w:type="dxa" w:w="249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0000"/>
                <w:sz w:val="20"/>
                <w:szCs w:val="20"/>
              </w:rPr>
              <w:t xml:space="preserve">DEFICIENT – 9+ months short</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WAX-FW-01 Firewall Logs</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Not configured</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12 months</w:t>
            </w:r>
          </w:p>
        </w:tc>
        <w:tc>
          <w:tcPr>
            <w:tcW w:type="dxa" w:w="249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0000"/>
                <w:sz w:val="20"/>
                <w:szCs w:val="20"/>
              </w:rPr>
              <w:t xml:space="preserve">DEFICIENT – No retention</w:t>
            </w:r>
          </w:p>
        </w:tc>
      </w:tr>
    </w:tbl>
    <w:p>
      <w:pPr>
        <w:spacing w:after="120" w:before="120"/>
      </w:pPr>
      <w:r>
        <w:t xml:space="preserve"/>
      </w:r>
    </w:p>
    <w:p>
      <w:pPr>
        <w:pStyle w:val="Heading1"/>
        <w:pBdr>
          <w:bottom w:val="single" w:color="2E75B6" w:sz="6" w:space="4"/>
        </w:pBdr>
        <w:spacing w:after="120" w:before="360"/>
      </w:pPr>
      <w:r>
        <w:rPr>
          <w:rFonts w:ascii="Arial" w:cs="Arial" w:eastAsia="Arial" w:hAnsi="Arial"/>
          <w:b/>
          <w:bCs/>
          <w:color w:val="1B3A6B"/>
          <w:sz w:val="36"/>
          <w:szCs w:val="36"/>
        </w:rPr>
        <w:t xml:space="preserve">4. Vulnerability Management Review</w:t>
      </w:r>
    </w:p>
    <w:p>
      <w:pPr>
        <w:pStyle w:val="Heading2"/>
        <w:spacing w:after="80" w:before="240"/>
      </w:pPr>
      <w:r>
        <w:rPr>
          <w:rFonts w:ascii="Arial" w:cs="Arial" w:eastAsia="Arial" w:hAnsi="Arial"/>
          <w:b/>
          <w:bCs/>
          <w:color w:val="2E75B6"/>
          <w:sz w:val="28"/>
          <w:szCs w:val="28"/>
        </w:rPr>
        <w:t xml:space="preserve">4.1 Assessment Findings</w:t>
      </w:r>
    </w:p>
    <w:p>
      <w:pPr>
        <w:spacing w:after="60" w:before="60"/>
      </w:pPr>
      <w:r>
        <w:rPr>
          <w:rFonts w:ascii="Arial" w:cs="Arial" w:eastAsia="Arial" w:hAnsi="Arial"/>
          <w:b w:val="false"/>
          <w:bCs w:val="false"/>
          <w:i w:val="false"/>
          <w:iCs w:val="false"/>
          <w:color w:val="1A1A1A"/>
          <w:sz w:val="22"/>
          <w:szCs w:val="22"/>
        </w:rPr>
        <w:t xml:space="preserve">WhaleAX has deployed Tenable.io (WAX-VULN-01) for vulnerability scanning. Internal authenticated scans are conducted monthly; external scans are conducted quarterly via an Approved Scanning Vendor (ASV). The following assessment results were identified:</w:t>
      </w:r>
    </w:p>
    <w:p>
      <w:pPr>
        <w:pStyle w:val="ListParagraph"/>
        <w:numPr>
          <w:ilvl w:val="0"/>
          <w:numId w:val="2"/>
        </w:numPr>
        <w:spacing w:after="40" w:before="40"/>
      </w:pPr>
      <w:r>
        <w:rPr>
          <w:rFonts w:ascii="Arial" w:cs="Arial" w:eastAsia="Arial" w:hAnsi="Arial"/>
          <w:sz w:val="22"/>
          <w:szCs w:val="22"/>
        </w:rPr>
        <w:t xml:space="preserve">Monthly internal scanning is actively performed and scan completion evidence is available. This is a compliance strength.</w:t>
      </w:r>
    </w:p>
    <w:p>
      <w:pPr>
        <w:pStyle w:val="ListParagraph"/>
        <w:numPr>
          <w:ilvl w:val="0"/>
          <w:numId w:val="2"/>
        </w:numPr>
        <w:spacing w:after="40" w:before="40"/>
      </w:pPr>
      <w:r>
        <w:rPr>
          <w:rFonts w:ascii="Arial" w:cs="Arial" w:eastAsia="Arial" w:hAnsi="Arial"/>
          <w:sz w:val="22"/>
          <w:szCs w:val="22"/>
        </w:rPr>
        <w:t xml:space="preserve">Critical vulnerability remediation tracking lacks a formal ageing report. There is no automated notification when remediation SLAs are breached.</w:t>
      </w:r>
    </w:p>
    <w:p>
      <w:pPr>
        <w:pStyle w:val="ListParagraph"/>
        <w:numPr>
          <w:ilvl w:val="0"/>
          <w:numId w:val="2"/>
        </w:numPr>
        <w:spacing w:after="40" w:before="40"/>
      </w:pPr>
      <w:r>
        <w:rPr>
          <w:rFonts w:ascii="Arial" w:cs="Arial" w:eastAsia="Arial" w:hAnsi="Arial"/>
          <w:sz w:val="22"/>
          <w:szCs w:val="22"/>
        </w:rPr>
        <w:t xml:space="preserve">3 critical CVEs on WAX-APP-01 and WAX-APP-02 are unpatched beyond the 30-day SLA (see Finding F-001).</w:t>
      </w:r>
    </w:p>
    <w:p>
      <w:pPr>
        <w:pStyle w:val="ListParagraph"/>
        <w:numPr>
          <w:ilvl w:val="0"/>
          <w:numId w:val="2"/>
        </w:numPr>
        <w:spacing w:after="40" w:before="40"/>
      </w:pPr>
      <w:r>
        <w:rPr>
          <w:rFonts w:ascii="Arial" w:cs="Arial" w:eastAsia="Arial" w:hAnsi="Arial"/>
          <w:sz w:val="22"/>
          <w:szCs w:val="22"/>
        </w:rPr>
        <w:t xml:space="preserve">High-severity vulnerability remediation tracking shows 7 items open for 31–60 days with no documented exception or waiver.</w:t>
      </w:r>
    </w:p>
    <w:p>
      <w:pPr>
        <w:pStyle w:val="ListParagraph"/>
        <w:numPr>
          <w:ilvl w:val="0"/>
          <w:numId w:val="2"/>
        </w:numPr>
        <w:spacing w:after="40" w:before="40"/>
      </w:pPr>
      <w:r>
        <w:rPr>
          <w:rFonts w:ascii="Arial" w:cs="Arial" w:eastAsia="Arial" w:hAnsi="Arial"/>
          <w:sz w:val="22"/>
          <w:szCs w:val="22"/>
        </w:rPr>
        <w:t xml:space="preserve">Quarterly ASV scan results for Q1 2025 show 2 medium-severity findings on external-facing systems not yet remediated.</w:t>
      </w:r>
    </w:p>
    <w:p>
      <w:pPr>
        <w:spacing w:after="120" w:before="120"/>
      </w:pPr>
      <w:r>
        <w:t xml:space="preserve"/>
      </w:r>
    </w:p>
    <w:p>
      <w:pPr>
        <w:pStyle w:val="Heading1"/>
        <w:pBdr>
          <w:bottom w:val="single" w:color="2E75B6" w:sz="6" w:space="4"/>
        </w:pBdr>
        <w:spacing w:after="120" w:before="360"/>
      </w:pPr>
      <w:r>
        <w:rPr>
          <w:rFonts w:ascii="Arial" w:cs="Arial" w:eastAsia="Arial" w:hAnsi="Arial"/>
          <w:b/>
          <w:bCs/>
          <w:color w:val="1B3A6B"/>
          <w:sz w:val="36"/>
          <w:szCs w:val="36"/>
        </w:rPr>
        <w:t xml:space="preserve">5. Secure Configuration Review</w:t>
      </w:r>
    </w:p>
    <w:p>
      <w:pPr>
        <w:pStyle w:val="Heading2"/>
        <w:spacing w:after="80" w:before="240"/>
      </w:pPr>
      <w:r>
        <w:rPr>
          <w:rFonts w:ascii="Arial" w:cs="Arial" w:eastAsia="Arial" w:hAnsi="Arial"/>
          <w:b/>
          <w:bCs/>
          <w:color w:val="2E75B6"/>
          <w:sz w:val="28"/>
          <w:szCs w:val="28"/>
        </w:rPr>
        <w:t xml:space="preserve">5.1 CIS Benchmark Assessment</w:t>
      </w:r>
    </w:p>
    <w:p>
      <w:pPr>
        <w:spacing w:after="60" w:before="60"/>
      </w:pPr>
      <w:r>
        <w:rPr>
          <w:rFonts w:ascii="Arial" w:cs="Arial" w:eastAsia="Arial" w:hAnsi="Arial"/>
          <w:b w:val="false"/>
          <w:bCs w:val="false"/>
          <w:i w:val="false"/>
          <w:iCs w:val="false"/>
          <w:color w:val="1A1A1A"/>
          <w:sz w:val="22"/>
          <w:szCs w:val="22"/>
        </w:rPr>
        <w:t xml:space="preserve">The assessment evaluated whether WhaleAX has applied documented secure configuration standards to CDE system components, consistent with CIS Benchmarks or equivalent industry standards as required by PCI DSS Requirement 2.2.1.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2808"/>
      </w:tblGrid>
      <w:tr>
        <w:tc>
          <w:tcPr>
            <w:tcW w:type="dxa" w:w="2808"/>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System</w:t>
            </w:r>
          </w:p>
        </w:tc>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Baseline Standard</w:t>
            </w:r>
          </w:p>
        </w:tc>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Baseline Applied?</w:t>
            </w:r>
          </w:p>
        </w:tc>
        <w:tc>
          <w:tcPr>
            <w:tcW w:type="dxa" w:w="2808"/>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Key Gaps Identified</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WAX-APP-01 (Amazon Linux 2)</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CIS Amazon Linux 2 Benchmark</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No – Not applied</w:t>
            </w:r>
          </w:p>
        </w:tc>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SSH root login enabled; no /etc/passwd auditing; no PAM controls for password complexity</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WAX-APP-02 (Amazon Linux 2)</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CIS Amazon Linux 2 Benchmark</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No – Not applied</w:t>
            </w:r>
          </w:p>
        </w:tc>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Unnecessary services running (FTP); no auditd configuration; default umask not hardened</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WAX-DB-01 (PostgreSQL 14 on RDS)</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CIS PostgreSQL 14 Benchmark</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CC5500"/>
                <w:sz w:val="20"/>
                <w:szCs w:val="20"/>
              </w:rPr>
              <w:t xml:space="preserve">Partial – Limited</w:t>
            </w:r>
          </w:p>
        </w:tc>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Public schema accessible; pg_hba.conf allows MD5 authentication; logging.log_connections not enabled</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Analyst Workstations (Windows 10/11)</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CIS Windows 10 Enterprise Benchmark</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C5500"/>
                <w:sz w:val="20"/>
                <w:szCs w:val="20"/>
              </w:rPr>
              <w:t xml:space="preserve">Partial – GPO applied</w:t>
            </w:r>
          </w:p>
        </w:tc>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Local admin accounts not disabled on 8 of 25 workstations; USB storage not blocked</w:t>
            </w:r>
          </w:p>
        </w:tc>
      </w:tr>
    </w:tbl>
    <w:p>
      <w:pPr>
        <w:spacing w:after="120" w:before="120"/>
      </w:pPr>
      <w:r>
        <w:t xml:space="preserve"/>
      </w:r>
    </w:p>
    <w:p>
      <w:pPr>
        <w:pStyle w:val="Heading1"/>
        <w:pBdr>
          <w:bottom w:val="single" w:color="2E75B6" w:sz="6" w:space="4"/>
        </w:pBdr>
        <w:spacing w:after="120" w:before="360"/>
      </w:pPr>
      <w:r>
        <w:rPr>
          <w:rFonts w:ascii="Arial" w:cs="Arial" w:eastAsia="Arial" w:hAnsi="Arial"/>
          <w:b/>
          <w:bCs/>
          <w:color w:val="1B3A6B"/>
          <w:sz w:val="36"/>
          <w:szCs w:val="36"/>
        </w:rPr>
        <w:t xml:space="preserve">6. Third-Party Risk Review</w:t>
      </w:r>
    </w:p>
    <w:p>
      <w:pPr>
        <w:pStyle w:val="Heading2"/>
        <w:spacing w:after="80" w:before="240"/>
      </w:pPr>
      <w:r>
        <w:rPr>
          <w:rFonts w:ascii="Arial" w:cs="Arial" w:eastAsia="Arial" w:hAnsi="Arial"/>
          <w:b/>
          <w:bCs/>
          <w:color w:val="2E75B6"/>
          <w:sz w:val="28"/>
          <w:szCs w:val="28"/>
        </w:rPr>
        <w:t xml:space="preserve">6.1 Key Service Provider Assessment</w:t>
      </w:r>
    </w:p>
    <w:p>
      <w:pPr>
        <w:spacing w:after="60" w:before="60"/>
      </w:pPr>
      <w:r>
        <w:rPr>
          <w:rFonts w:ascii="Arial" w:cs="Arial" w:eastAsia="Arial" w:hAnsi="Arial"/>
          <w:b w:val="false"/>
          <w:bCs w:val="false"/>
          <w:i w:val="false"/>
          <w:iCs w:val="false"/>
          <w:color w:val="1A1A1A"/>
          <w:sz w:val="22"/>
          <w:szCs w:val="22"/>
        </w:rPr>
        <w:t xml:space="preserve">PCI DSS Requirement 12.8 requires WhaleAX to maintain a formal Third-Party Risk Management (TPRM) program for all service providers that could affect the security of cardholder data. The following service providers were reviewed: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Service Provider</w:t>
            </w:r>
          </w:p>
        </w:tc>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Service Type</w:t>
            </w:r>
          </w:p>
        </w:tc>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PCI DSS Compliant?</w:t>
            </w:r>
          </w:p>
        </w:tc>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Evidence Available</w:t>
            </w:r>
          </w:p>
        </w:tc>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TPRM Status</w:t>
            </w:r>
          </w:p>
        </w:tc>
      </w:tr>
      <w:tr>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Amazon Web Services (AWS)</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Cloud Infrastructure (IaaS)</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 AWS PCI DSS Compliance</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AWS Artifact AOC</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Partial – No formal assessment</w:t>
            </w:r>
          </w:p>
        </w:tc>
      </w:tr>
      <w:tr>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Okta, Inc.</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Identity/MFA Provider (SaaS)</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 SOC 2 Type II</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SOC 2 Report (2024)</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Partial – No formal assessment</w:t>
            </w:r>
          </w:p>
        </w:tc>
      </w:tr>
      <w:tr>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Tenable, Inc.</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Vulnerability Management (SaaS)</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 SOC 2 Type II</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SOC 2 Report (2024)</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No – Not assessed</w:t>
            </w:r>
          </w:p>
        </w:tc>
      </w:tr>
      <w:tr>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Internet Service Provider</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Network Connectivity</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Confirmed</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Service Agreement only</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No – Not assessed</w:t>
            </w:r>
          </w:p>
        </w:tc>
      </w:tr>
    </w:tbl>
    <w:p>
      <w:pPr>
        <w:spacing w:after="60" w:before="60"/>
      </w:pPr>
      <w:r>
        <w:t xml:space="preserve"/>
      </w:r>
    </w:p>
    <w:p>
      <w:pPr>
        <w:pStyle w:val="Heading2"/>
        <w:spacing w:after="80" w:before="240"/>
      </w:pPr>
      <w:r>
        <w:rPr>
          <w:rFonts w:ascii="Arial" w:cs="Arial" w:eastAsia="Arial" w:hAnsi="Arial"/>
          <w:b/>
          <w:bCs/>
          <w:color w:val="2E75B6"/>
          <w:sz w:val="28"/>
          <w:szCs w:val="28"/>
        </w:rPr>
        <w:t xml:space="preserve">6.2 TPRM Program Gaps</w:t>
      </w:r>
    </w:p>
    <w:p>
      <w:pPr>
        <w:pStyle w:val="ListParagraph"/>
        <w:numPr>
          <w:ilvl w:val="0"/>
          <w:numId w:val="2"/>
        </w:numPr>
        <w:spacing w:after="40" w:before="40"/>
      </w:pPr>
      <w:r>
        <w:rPr>
          <w:rFonts w:ascii="Arial" w:cs="Arial" w:eastAsia="Arial" w:hAnsi="Arial"/>
          <w:sz w:val="22"/>
          <w:szCs w:val="22"/>
        </w:rPr>
        <w:t xml:space="preserve">No formal Third-Party Risk Management policy or procedure exists at WhaleAX.</w:t>
      </w:r>
    </w:p>
    <w:p>
      <w:pPr>
        <w:pStyle w:val="ListParagraph"/>
        <w:numPr>
          <w:ilvl w:val="0"/>
          <w:numId w:val="2"/>
        </w:numPr>
        <w:spacing w:after="40" w:before="40"/>
      </w:pPr>
      <w:r>
        <w:rPr>
          <w:rFonts w:ascii="Arial" w:cs="Arial" w:eastAsia="Arial" w:hAnsi="Arial"/>
          <w:sz w:val="22"/>
          <w:szCs w:val="22"/>
        </w:rPr>
        <w:t xml:space="preserve">No standardized vendor security assessment questionnaire has been developed or distributed.</w:t>
      </w:r>
    </w:p>
    <w:p>
      <w:pPr>
        <w:pStyle w:val="ListParagraph"/>
        <w:numPr>
          <w:ilvl w:val="0"/>
          <w:numId w:val="2"/>
        </w:numPr>
        <w:spacing w:after="40" w:before="40"/>
      </w:pPr>
      <w:r>
        <w:rPr>
          <w:rFonts w:ascii="Arial" w:cs="Arial" w:eastAsia="Arial" w:hAnsi="Arial"/>
          <w:sz w:val="22"/>
          <w:szCs w:val="22"/>
        </w:rPr>
        <w:t xml:space="preserve">Responsibility Matrices (RACI for shared responsibilities) have not been formally documented for any service provider.</w:t>
      </w:r>
    </w:p>
    <w:p>
      <w:pPr>
        <w:pStyle w:val="ListParagraph"/>
        <w:numPr>
          <w:ilvl w:val="0"/>
          <w:numId w:val="2"/>
        </w:numPr>
        <w:spacing w:after="40" w:before="40"/>
      </w:pPr>
      <w:r>
        <w:rPr>
          <w:rFonts w:ascii="Arial" w:cs="Arial" w:eastAsia="Arial" w:hAnsi="Arial"/>
          <w:sz w:val="22"/>
          <w:szCs w:val="22"/>
        </w:rPr>
        <w:t xml:space="preserve">Shared Responsibility Models for AWS, Okta, and Tenable.io have not been formally reviewed and documented to confirm which PCI DSS controls are managed by the provider versus WhaleAX.</w:t>
      </w:r>
    </w:p>
    <w:p>
      <w:pPr>
        <w:pStyle w:val="ListParagraph"/>
        <w:numPr>
          <w:ilvl w:val="0"/>
          <w:numId w:val="2"/>
        </w:numPr>
        <w:spacing w:after="40" w:before="40"/>
      </w:pPr>
      <w:r>
        <w:rPr>
          <w:rFonts w:ascii="Arial" w:cs="Arial" w:eastAsia="Arial" w:hAnsi="Arial"/>
          <w:sz w:val="22"/>
          <w:szCs w:val="22"/>
        </w:rPr>
        <w:t xml:space="preserve">No annual compliance confirmation process is in place to obtain updated compliance evidence from service providers.</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6.3 Recommended Actions</w:t>
      </w:r>
    </w:p>
    <w:p>
      <w:pPr>
        <w:pStyle w:val="ListParagraph"/>
        <w:numPr>
          <w:ilvl w:val="0"/>
          <w:numId w:val="2"/>
        </w:numPr>
        <w:spacing w:after="40" w:before="40"/>
      </w:pPr>
      <w:r>
        <w:rPr>
          <w:rFonts w:ascii="Arial" w:cs="Arial" w:eastAsia="Arial" w:hAnsi="Arial"/>
          <w:sz w:val="22"/>
          <w:szCs w:val="22"/>
        </w:rPr>
        <w:t xml:space="preserve">Develop a TPRM policy and vendor security assessment questionnaire template.</w:t>
      </w:r>
    </w:p>
    <w:p>
      <w:pPr>
        <w:pStyle w:val="ListParagraph"/>
        <w:numPr>
          <w:ilvl w:val="0"/>
          <w:numId w:val="2"/>
        </w:numPr>
        <w:spacing w:after="40" w:before="40"/>
      </w:pPr>
      <w:r>
        <w:rPr>
          <w:rFonts w:ascii="Arial" w:cs="Arial" w:eastAsia="Arial" w:hAnsi="Arial"/>
          <w:sz w:val="22"/>
          <w:szCs w:val="22"/>
        </w:rPr>
        <w:t xml:space="preserve">Complete formal assessment of all three key service providers (AWS, Okta, Tenable.io) within 90 days.</w:t>
      </w:r>
    </w:p>
    <w:p>
      <w:pPr>
        <w:pStyle w:val="ListParagraph"/>
        <w:numPr>
          <w:ilvl w:val="0"/>
          <w:numId w:val="2"/>
        </w:numPr>
        <w:spacing w:after="40" w:before="40"/>
      </w:pPr>
      <w:r>
        <w:rPr>
          <w:rFonts w:ascii="Arial" w:cs="Arial" w:eastAsia="Arial" w:hAnsi="Arial"/>
          <w:sz w:val="22"/>
          <w:szCs w:val="22"/>
        </w:rPr>
        <w:t xml:space="preserve">Document shared responsibility matrices for each provider, mapping PCI DSS requirements to provider-managed and WhaleAX-managed controls.</w:t>
      </w:r>
    </w:p>
    <w:p>
      <w:pPr>
        <w:pStyle w:val="ListParagraph"/>
        <w:numPr>
          <w:ilvl w:val="0"/>
          <w:numId w:val="2"/>
        </w:numPr>
        <w:spacing w:after="40" w:before="40"/>
      </w:pPr>
      <w:r>
        <w:rPr>
          <w:rFonts w:ascii="Arial" w:cs="Arial" w:eastAsia="Arial" w:hAnsi="Arial"/>
          <w:sz w:val="22"/>
          <w:szCs w:val="22"/>
        </w:rPr>
        <w:t xml:space="preserve">Implement annual compliance confirmation process for all service providers with access to or impact on CDE.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before="100"/>
    </w:pPr>
    <w:r>
      <w:rPr>
        <w:rFonts w:ascii="Arial" w:cs="Arial" w:eastAsia="Arial" w:hAnsi="Arial"/>
        <w:color w:val="595959"/>
        <w:sz w:val="16"/>
        <w:szCs w:val="16"/>
      </w:rPr>
      <w:t xml:space="preserve">PCI DSS v4.0 Gap Assessment  |  Engagement Ref: WAX-PCI-2025-001  |  CONFIDENTIAL</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rFonts w:ascii="Arial" w:cs="Arial" w:eastAsia="Arial" w:hAnsi="Arial"/>
        <w:b/>
        <w:bCs/>
        <w:color w:val="595959"/>
        <w:sz w:val="18"/>
        <w:szCs w:val="18"/>
      </w:rPr>
      <w:t xml:space="preserve">CONFIDENTIAL | WhaleAX Financial Consulting Services Pvt Ltd</w:t>
    </w:r>
    <w:r>
      <w:rPr>
        <w:rFonts w:ascii="Arial" w:cs="Arial" w:eastAsia="Arial" w:hAnsi="Arial"/>
        <w:color w:val="2E75B6"/>
        <w:sz w:val="18"/>
        <w:szCs w:val="18"/>
      </w:rPr>
      <w:t xml:space="preserve">   |   Security Governance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2026-05-30T05:00:09.877Z</dcterms:created>
  <dcterms:modified xsi:type="dcterms:W3CDTF">2026-05-30T05:00:09.877Z</dcterms:modified>
</cp:coreProperties>
</file>

<file path=docProps/custom.xml><?xml version="1.0" encoding="utf-8"?>
<Properties xmlns="http://schemas.openxmlformats.org/officeDocument/2006/custom-properties" xmlns:vt="http://schemas.openxmlformats.org/officeDocument/2006/docPropsVTypes"/>
</file>