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urier New" w:cs="Courier New" w:eastAsia="Courier New" w:hAnsi="Courier New"/>
          <w:b/>
          <w:bCs/>
          <w:color w:val="2F6B4F"/>
          <w:sz w:val="18"/>
          <w:szCs w:val="18"/>
        </w:rPr>
        <w:t xml:space="preserve">DATA SOURCE BRIEF &amp; DASHBOARD REPORT — FOR REVIEW</w:t>
      </w:r>
    </w:p>
    <w:p>
      <w:pPr>
        <w:pStyle w:val="Heading1"/>
        <w:spacing w:after="160" w:before="0"/>
      </w:pPr>
      <w:r>
        <w:rPr>
          <w:b/>
          <w:bCs/>
          <w:color w:val="1C211D"/>
          <w:sz w:val="44"/>
          <w:szCs w:val="44"/>
        </w:rPr>
        <w:t xml:space="preserve">Mandi Price Data: Source, Extraction &amp; Dashboard</w:t>
      </w:r>
    </w:p>
    <w:p>
      <w:pPr>
        <w:spacing w:after="300"/>
      </w:pPr>
      <w:r>
        <w:rPr>
          <w:b/>
          <w:bCs/>
          <w:color w:val="565F58"/>
          <w:sz w:val="19"/>
          <w:szCs w:val="19"/>
        </w:rPr>
        <w:t xml:space="preserve">Crops: </w:t>
      </w:r>
      <w:r>
        <w:rPr>
          <w:rFonts w:ascii="Courier New" w:cs="Courier New" w:eastAsia="Courier New" w:hAnsi="Courier New"/>
          <w:color w:val="565F58"/>
          <w:sz w:val="19"/>
          <w:szCs w:val="19"/>
        </w:rPr>
        <w:t xml:space="preserve">Capsicum · Cucumber · Muskmelon · Green Chilli* · Tomato*    </w:t>
      </w:r>
      <w:r>
        <w:rPr>
          <w:b/>
          <w:bCs/>
          <w:color w:val="565F58"/>
          <w:sz w:val="19"/>
          <w:szCs w:val="19"/>
        </w:rPr>
        <w:t xml:space="preserve">Mandis: </w:t>
      </w:r>
      <w:r>
        <w:rPr>
          <w:rFonts w:ascii="Courier New" w:cs="Courier New" w:eastAsia="Courier New" w:hAnsi="Courier New"/>
          <w:color w:val="565F58"/>
          <w:sz w:val="19"/>
          <w:szCs w:val="19"/>
        </w:rPr>
        <w:t xml:space="preserve">Azadpur (Delhi) · Muhana/Jaipur    </w:t>
      </w:r>
      <w:r>
        <w:rPr>
          <w:b/>
          <w:bCs/>
          <w:color w:val="565F58"/>
          <w:sz w:val="19"/>
          <w:szCs w:val="19"/>
        </w:rPr>
        <w:t xml:space="preserve">Window: </w:t>
      </w:r>
      <w:r>
        <w:rPr>
          <w:rFonts w:ascii="Courier New" w:cs="Courier New" w:eastAsia="Courier New" w:hAnsi="Courier New"/>
          <w:color w:val="565F58"/>
          <w:sz w:val="19"/>
          <w:szCs w:val="19"/>
        </w:rPr>
        <w:t xml:space="preserve">Sep 2023 – Sep 2026 (36 months)</w:t>
      </w:r>
    </w:p>
    <w:p>
      <w:pPr>
        <w:pStyle w:val="Heading2"/>
        <w:pBdr>
          <w:bottom w:val="single" w:color="D9D6CC" w:sz="4" w:space="6"/>
        </w:pBdr>
        <w:spacing w:after="140" w:before="380"/>
      </w:pPr>
      <w:r>
        <w:rPr>
          <w:rFonts w:ascii="Courier New" w:cs="Courier New" w:eastAsia="Courier New" w:hAnsi="Courier New"/>
          <w:b/>
          <w:bCs/>
          <w:color w:val="2F6B4F"/>
          <w:sz w:val="24"/>
          <w:szCs w:val="24"/>
        </w:rPr>
        <w:t xml:space="preserve">01  </w:t>
      </w:r>
      <w:r>
        <w:rPr>
          <w:b/>
          <w:bCs/>
          <w:color w:val="1C211D"/>
          <w:sz w:val="28"/>
          <w:szCs w:val="28"/>
        </w:rPr>
        <w:t xml:space="preserve">What data we are using</w:t>
      </w:r>
    </w:p>
    <w:p>
      <w:pPr>
        <w:spacing w:after="200"/>
      </w:pPr>
      <w:r>
        <w:rPr>
          <w:i/>
          <w:iCs/>
          <w:color w:val="565F58"/>
          <w:sz w:val="21"/>
          <w:szCs w:val="21"/>
        </w:rPr>
        <w:t xml:space="preserve">The pipeline runs live against Agmarknet’s own official API — not a third-party mirror — with real rows already landing in the sheet. Every claim below was verified directly, not assumed.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400"/>
      </w:tblGrid>
      <w:tr>
        <w:tc>
          <w:tcPr>
            <w:tcW w:type="dxa" w:w="3200"/>
            <w:shd w:fill="ECEBE4" w:val="clear"/>
            <w:tcMar>
              <w:top w:type="dxa" w:w="80"/>
              <w:left w:type="dxa" w:w="100"/>
              <w:bottom w:type="dxa" w:w="80"/>
              <w:right w:type="dxa" w:w="100"/>
            </w:tcMar>
          </w:tcPr>
          <w:p>
            <w:r>
              <w:rPr>
                <w:b/>
                <w:bCs/>
                <w:strike w:val="false"/>
                <w:color w:val="1C211D"/>
                <w:sz w:val="20"/>
                <w:szCs w:val="20"/>
              </w:rPr>
              <w:t xml:space="preserve">Source</w:t>
            </w:r>
          </w:p>
        </w:tc>
        <w:tc>
          <w:tcPr>
            <w:tcW w:type="dxa" w:w="4200"/>
            <w:shd w:fill="ECEBE4" w:val="clear"/>
            <w:tcMar>
              <w:top w:type="dxa" w:w="80"/>
              <w:left w:type="dxa" w:w="100"/>
              <w:bottom w:type="dxa" w:w="80"/>
              <w:right w:type="dxa" w:w="100"/>
            </w:tcMar>
          </w:tcPr>
          <w:p>
            <w:r>
              <w:rPr>
                <w:b/>
                <w:bCs/>
                <w:strike w:val="false"/>
                <w:color w:val="1C211D"/>
                <w:sz w:val="20"/>
                <w:szCs w:val="20"/>
              </w:rPr>
              <w:t xml:space="preserve">Role</w:t>
            </w:r>
          </w:p>
        </w:tc>
        <w:tc>
          <w:tcPr>
            <w:tcW w:type="dxa" w:w="2400"/>
            <w:shd w:fill="ECEBE4" w:val="clear"/>
            <w:tcMar>
              <w:top w:type="dxa" w:w="80"/>
              <w:left w:type="dxa" w:w="100"/>
              <w:bottom w:type="dxa" w:w="80"/>
              <w:right w:type="dxa" w:w="100"/>
            </w:tcMar>
          </w:tcPr>
          <w:p>
            <w:r>
              <w:rPr>
                <w:b/>
                <w:bCs/>
                <w:strike w:val="false"/>
                <w:color w:val="1C211D"/>
                <w:sz w:val="20"/>
                <w:szCs w:val="20"/>
              </w:rPr>
              <w:t xml:space="preserve">Status</w:t>
            </w:r>
          </w:p>
        </w:tc>
      </w:tr>
      <w:tr>
        <w:tc>
          <w:tcPr>
            <w:tcW w:type="dxa" w:w="3200"/>
            <w:tcMar>
              <w:top w:type="dxa" w:w="80"/>
              <w:left w:type="dxa" w:w="100"/>
              <w:bottom w:type="dxa" w:w="80"/>
              <w:right w:type="dxa" w:w="100"/>
            </w:tcMar>
          </w:tcPr>
          <w:p>
            <w:r>
              <w:rPr>
                <w:b w:val="false"/>
                <w:bCs w:val="false"/>
                <w:strike w:val="false"/>
                <w:color w:val="1C211D"/>
                <w:sz w:val="20"/>
                <w:szCs w:val="20"/>
              </w:rPr>
              <w:t xml:space="preserve">Agmarknet's own API
(api.agmarknet.gov.in)</w:t>
            </w:r>
          </w:p>
        </w:tc>
        <w:tc>
          <w:tcPr>
            <w:tcW w:type="dxa" w:w="4200"/>
            <w:tcMar>
              <w:top w:type="dxa" w:w="80"/>
              <w:left w:type="dxa" w:w="100"/>
              <w:bottom w:type="dxa" w:w="80"/>
              <w:right w:type="dxa" w:w="100"/>
            </w:tcMar>
          </w:tcPr>
          <w:p>
            <w:r>
              <w:rPr>
                <w:b w:val="false"/>
                <w:bCs w:val="false"/>
                <w:strike w:val="false"/>
                <w:color w:val="1C211D"/>
                <w:sz w:val="20"/>
                <w:szCs w:val="20"/>
              </w:rPr>
              <w:t xml:space="preserve">Sole data source — the same endpoint agmarknet.gov.in’s own website calls internally. No API key needed.</w:t>
            </w:r>
          </w:p>
        </w:tc>
        <w:tc>
          <w:tcPr>
            <w:tcW w:type="dxa" w:w="2400"/>
            <w:tcMar>
              <w:top w:type="dxa" w:w="80"/>
              <w:left w:type="dxa" w:w="100"/>
              <w:bottom w:type="dxa" w:w="80"/>
              <w:right w:type="dxa" w:w="100"/>
            </w:tcMar>
          </w:tcPr>
          <w:p>
            <w:r>
              <w:rPr>
                <w:b w:val="false"/>
                <w:bCs w:val="false"/>
                <w:strike w:val="false"/>
                <w:color w:val="1C211D"/>
                <w:sz w:val="20"/>
                <w:szCs w:val="20"/>
              </w:rPr>
              <w:t xml:space="preserve">Live, confirmed back to Sep 2023</w:t>
            </w:r>
          </w:p>
        </w:tc>
      </w:tr>
      <w:tr>
        <w:tc>
          <w:tcPr>
            <w:tcW w:type="dxa" w:w="3200"/>
            <w:tcMar>
              <w:top w:type="dxa" w:w="80"/>
              <w:left w:type="dxa" w:w="100"/>
              <w:bottom w:type="dxa" w:w="80"/>
              <w:right w:type="dxa" w:w="100"/>
            </w:tcMar>
          </w:tcPr>
          <w:p>
            <w:r>
              <w:rPr>
                <w:b w:val="false"/>
                <w:bCs w:val="false"/>
                <w:strike w:val="false"/>
                <w:color w:val="1C211D"/>
                <w:sz w:val="20"/>
                <w:szCs w:val="20"/>
              </w:rPr>
              <w:t xml:space="preserve">data.gov.in mirror API</w:t>
            </w:r>
          </w:p>
        </w:tc>
        <w:tc>
          <w:tcPr>
            <w:tcW w:type="dxa" w:w="4200"/>
            <w:tcMar>
              <w:top w:type="dxa" w:w="80"/>
              <w:left w:type="dxa" w:w="100"/>
              <w:bottom w:type="dxa" w:w="80"/>
              <w:right w:type="dxa" w:w="100"/>
            </w:tcMar>
          </w:tcPr>
          <w:p>
            <w:r>
              <w:rPr>
                <w:b w:val="false"/>
                <w:bCs w:val="false"/>
                <w:strike w:val="false"/>
                <w:color w:val="1C211D"/>
                <w:sz w:val="20"/>
                <w:szCs w:val="20"/>
              </w:rPr>
              <w:t xml:space="preserve">Considered first, dropped</w:t>
            </w:r>
          </w:p>
        </w:tc>
        <w:tc>
          <w:tcPr>
            <w:tcW w:type="dxa" w:w="2400"/>
            <w:tcMar>
              <w:top w:type="dxa" w:w="80"/>
              <w:left w:type="dxa" w:w="100"/>
              <w:bottom w:type="dxa" w:w="80"/>
              <w:right w:type="dxa" w:w="100"/>
            </w:tcMar>
          </w:tcPr>
          <w:p>
            <w:r>
              <w:rPr>
                <w:b w:val="false"/>
                <w:bCs w:val="false"/>
                <w:strike w:val="false"/>
                <w:color w:val="1C211D"/>
                <w:sz w:val="20"/>
                <w:szCs w:val="20"/>
              </w:rPr>
              <w:t xml:space="preserve">Only ~10 months history for these mandis — confirmed live, insufficient</w:t>
            </w:r>
          </w:p>
        </w:tc>
      </w:tr>
      <w:tr>
        <w:tc>
          <w:tcPr>
            <w:tcW w:type="dxa" w:w="3200"/>
            <w:tcMar>
              <w:top w:type="dxa" w:w="80"/>
              <w:left w:type="dxa" w:w="100"/>
              <w:bottom w:type="dxa" w:w="80"/>
              <w:right w:type="dxa" w:w="100"/>
            </w:tcMar>
          </w:tcPr>
          <w:p>
            <w:r>
              <w:rPr>
                <w:b w:val="false"/>
                <w:bCs w:val="false"/>
                <w:strike w:val="false"/>
                <w:color w:val="1C211D"/>
                <w:sz w:val="20"/>
                <w:szCs w:val="20"/>
              </w:rPr>
              <w:t xml:space="preserve">Agriwatch / CommodityOnline (private)</w:t>
            </w:r>
          </w:p>
        </w:tc>
        <w:tc>
          <w:tcPr>
            <w:tcW w:type="dxa" w:w="4200"/>
            <w:tcMar>
              <w:top w:type="dxa" w:w="80"/>
              <w:left w:type="dxa" w:w="100"/>
              <w:bottom w:type="dxa" w:w="80"/>
              <w:right w:type="dxa" w:w="100"/>
            </w:tcMar>
          </w:tcPr>
          <w:p>
            <w:r>
              <w:rPr>
                <w:b w:val="false"/>
                <w:bCs w:val="false"/>
                <w:strike w:val="false"/>
                <w:color w:val="1C211D"/>
                <w:sz w:val="20"/>
                <w:szCs w:val="20"/>
              </w:rPr>
              <w:t xml:space="preserve">Would be prioritised over government data if available and within 3% — per project guidance</w:t>
            </w:r>
          </w:p>
        </w:tc>
        <w:tc>
          <w:tcPr>
            <w:tcW w:type="dxa" w:w="2400"/>
            <w:tcMar>
              <w:top w:type="dxa" w:w="80"/>
              <w:left w:type="dxa" w:w="100"/>
              <w:bottom w:type="dxa" w:w="80"/>
              <w:right w:type="dxa" w:w="100"/>
            </w:tcMar>
          </w:tcPr>
          <w:p>
            <w:r>
              <w:rPr>
                <w:b w:val="false"/>
                <w:bCs w:val="false"/>
                <w:strike w:val="false"/>
                <w:color w:val="1C211D"/>
                <w:sz w:val="20"/>
                <w:szCs w:val="20"/>
              </w:rPr>
              <w:t xml:space="preserve">Confirmed unavailable — paywalled or not independent</w:t>
            </w:r>
          </w:p>
        </w:tc>
      </w:tr>
    </w:tbl>
    <w:p>
      <w:pPr>
        <w:pStyle w:val="Heading2"/>
        <w:pBdr>
          <w:bottom w:val="single" w:color="D9D6CC" w:sz="4" w:space="6"/>
        </w:pBdr>
        <w:spacing w:after="140" w:before="380"/>
      </w:pPr>
      <w:r>
        <w:rPr>
          <w:rFonts w:ascii="Courier New" w:cs="Courier New" w:eastAsia="Courier New" w:hAnsi="Courier New"/>
          <w:b/>
          <w:bCs/>
          <w:color w:val="2F6B4F"/>
          <w:sz w:val="24"/>
          <w:szCs w:val="24"/>
        </w:rPr>
        <w:t xml:space="preserve">02  </w:t>
      </w:r>
      <w:r>
        <w:rPr>
          <w:b/>
          <w:bCs/>
          <w:color w:val="1C211D"/>
          <w:sz w:val="28"/>
          <w:szCs w:val="28"/>
        </w:rPr>
        <w:t xml:space="preserve">Justification note — why this data was chosen</w:t>
      </w:r>
    </w:p>
    <w:p>
      <w:pPr>
        <w:pBdr>
          <w:left w:val="single" w:color="2F6B4F" w:sz="18" w:space="8"/>
        </w:pBdr>
        <w:spacing w:after="160" w:before="100"/>
      </w:pPr>
      <w:r>
        <w:rPr>
          <w:i/>
          <w:iCs/>
          <w:color w:val="1C211D"/>
          <w:sz w:val="21"/>
          <w:szCs w:val="21"/>
        </w:rPr>
        <w:t xml:space="preserve">"This project uses the Government of India’s official Agmarknet price and arrival records, pulled directly from Agmarknet’s own public API (the same one its website uses), as the authoritative source for all tracked crops across both mandis. Per project guidance, a private aggregator would be prioritised over government data where it is available, cleaner, and within 3% of the government figure — however, on direct testing, no private source met that bar: Agriwatch offers no free or public access, and CommodityOnline’s free tier is itself a re-publication of the same Agmarknet feed rather than an independently collected dataset. Government data is therefore used as the sole source, with private reconciliation to be added only if a licensed private feed is secured."</w:t>
      </w:r>
    </w:p>
    <w:p>
      <w:pPr>
        <w:spacing w:after="160"/>
      </w:pPr>
      <w:r>
        <w:rPr>
          <w:i w:val="false"/>
          <w:iCs w:val="false"/>
          <w:color w:val="1C211D"/>
          <w:sz w:val="22"/>
          <w:szCs w:val="22"/>
        </w:rPr>
        <w:t xml:space="preserve">We initially used a data.gov.in mirror of this same data, which was easier to query in bulk — but live testing showed it only retained about 10 months of history for these specific mandis, well short of the 3-year requirement. We traced the actual API Agmarknet’s own website calls internally and switched to it directly: confirmed live to return real, correct data back to at least 15-Jan-2024, and the running pipeline has data as far back as 25-Sep-2023 — covering the full 36-month window.</w:t>
      </w:r>
    </w:p>
    <w:p>
      <w:pPr>
        <w:spacing w:after="160"/>
      </w:pPr>
      <w:r>
        <w:rPr>
          <w:i w:val="false"/>
          <w:iCs w:val="false"/>
          <w:color w:val="1C211D"/>
          <w:sz w:val="22"/>
          <w:szCs w:val="22"/>
        </w:rPr>
        <w:t xml:space="preserve">Each record carries Arrivals (quantity, in Metric Tonnes) and Grade alongside Min/Max/Modal price — so quantity and grade-split requirements are satisfied from this one source.</w:t>
      </w:r>
    </w:p>
    <w:p>
      <w:pPr>
        <w:pStyle w:val="Heading2"/>
        <w:pBdr>
          <w:bottom w:val="single" w:color="D9D6CC" w:sz="4" w:space="6"/>
        </w:pBdr>
        <w:spacing w:after="140" w:before="380"/>
      </w:pPr>
      <w:r>
        <w:rPr>
          <w:rFonts w:ascii="Courier New" w:cs="Courier New" w:eastAsia="Courier New" w:hAnsi="Courier New"/>
          <w:b/>
          <w:bCs/>
          <w:color w:val="2F6B4F"/>
          <w:sz w:val="24"/>
          <w:szCs w:val="24"/>
        </w:rPr>
        <w:t xml:space="preserve">03  </w:t>
      </w:r>
      <w:r>
        <w:rPr>
          <w:b/>
          <w:bCs/>
          <w:color w:val="1C211D"/>
          <w:sz w:val="28"/>
          <w:szCs w:val="28"/>
        </w:rPr>
        <w:t xml:space="preserve">Naming corrections &amp; crop substitutions</w:t>
      </w:r>
    </w:p>
    <w:p>
      <w:pPr>
        <w:spacing w:after="200"/>
      </w:pPr>
      <w:r>
        <w:rPr>
          <w:i/>
          <w:iCs/>
          <w:color w:val="565F58"/>
          <w:sz w:val="21"/>
          <w:szCs w:val="21"/>
        </w:rPr>
        <w:t xml:space="preserve">Two categories of correction were needed: government naming that differs from common usage, and three requested crops that don’t exist as trackable commodities anywhere in the regulated mandi system.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800"/>
        <w:gridCol w:w="5000"/>
      </w:tblGrid>
      <w:tr>
        <w:tc>
          <w:tcPr>
            <w:tcW w:type="dxa" w:w="4800"/>
            <w:shd w:fill="ECEBE4" w:val="clear"/>
            <w:tcMar>
              <w:top w:type="dxa" w:w="80"/>
              <w:left w:type="dxa" w:w="100"/>
              <w:bottom w:type="dxa" w:w="80"/>
              <w:right w:type="dxa" w:w="100"/>
            </w:tcMar>
          </w:tcPr>
          <w:p>
            <w:r>
              <w:rPr>
                <w:b/>
                <w:bCs/>
                <w:strike w:val="false"/>
                <w:color w:val="1C211D"/>
                <w:sz w:val="20"/>
                <w:szCs w:val="20"/>
              </w:rPr>
              <w:t xml:space="preserve">What we assumed</w:t>
            </w:r>
          </w:p>
        </w:tc>
        <w:tc>
          <w:tcPr>
            <w:tcW w:type="dxa" w:w="5000"/>
            <w:shd w:fill="ECEBE4" w:val="clear"/>
            <w:tcMar>
              <w:top w:type="dxa" w:w="80"/>
              <w:left w:type="dxa" w:w="100"/>
              <w:bottom w:type="dxa" w:w="80"/>
              <w:right w:type="dxa" w:w="100"/>
            </w:tcMar>
          </w:tcPr>
          <w:p>
            <w:r>
              <w:rPr>
                <w:b/>
                <w:bCs/>
                <w:strike w:val="false"/>
                <w:color w:val="1C211D"/>
                <w:sz w:val="20"/>
                <w:szCs w:val="20"/>
              </w:rPr>
              <w:t xml:space="preserve">What Agmarknet actually calls it</w:t>
            </w:r>
          </w:p>
        </w:tc>
      </w:tr>
      <w:tr>
        <w:tc>
          <w:tcPr>
            <w:tcW w:type="dxa" w:w="4800"/>
            <w:tcMar>
              <w:top w:type="dxa" w:w="80"/>
              <w:left w:type="dxa" w:w="100"/>
              <w:bottom w:type="dxa" w:w="80"/>
              <w:right w:type="dxa" w:w="100"/>
            </w:tcMar>
          </w:tcPr>
          <w:p>
            <w:r>
              <w:rPr>
                <w:b w:val="false"/>
                <w:bCs w:val="false"/>
                <w:strike/>
                <w:color w:val="A13B2C"/>
                <w:sz w:val="20"/>
                <w:szCs w:val="20"/>
              </w:rPr>
              <w:t xml:space="preserve">Muskmelon</w:t>
            </w:r>
          </w:p>
        </w:tc>
        <w:tc>
          <w:tcPr>
            <w:tcW w:type="dxa" w:w="5000"/>
            <w:tcMar>
              <w:top w:type="dxa" w:w="80"/>
              <w:left w:type="dxa" w:w="100"/>
              <w:bottom w:type="dxa" w:w="80"/>
              <w:right w:type="dxa" w:w="100"/>
            </w:tcMar>
          </w:tcPr>
          <w:p>
            <w:r>
              <w:rPr>
                <w:b w:val="false"/>
                <w:bCs w:val="false"/>
                <w:strike w:val="false"/>
                <w:color w:val="1C211D"/>
                <w:sz w:val="20"/>
                <w:szCs w:val="20"/>
              </w:rPr>
              <w:t xml:space="preserve">Karbuja(Musk Melon) — under commodity group "Fruits"</w:t>
            </w:r>
          </w:p>
        </w:tc>
      </w:tr>
      <w:tr>
        <w:tc>
          <w:tcPr>
            <w:tcW w:type="dxa" w:w="4800"/>
            <w:tcMar>
              <w:top w:type="dxa" w:w="80"/>
              <w:left w:type="dxa" w:w="100"/>
              <w:bottom w:type="dxa" w:w="80"/>
              <w:right w:type="dxa" w:w="100"/>
            </w:tcMar>
          </w:tcPr>
          <w:p>
            <w:r>
              <w:rPr>
                <w:b w:val="false"/>
                <w:bCs w:val="false"/>
                <w:strike/>
                <w:color w:val="A13B2C"/>
                <w:sz w:val="20"/>
                <w:szCs w:val="20"/>
              </w:rPr>
              <w:t xml:space="preserve">Coloured Capsicum</w:t>
            </w:r>
          </w:p>
        </w:tc>
        <w:tc>
          <w:tcPr>
            <w:tcW w:type="dxa" w:w="5000"/>
            <w:tcMar>
              <w:top w:type="dxa" w:w="80"/>
              <w:left w:type="dxa" w:w="100"/>
              <w:bottom w:type="dxa" w:w="80"/>
              <w:right w:type="dxa" w:w="100"/>
            </w:tcMar>
          </w:tcPr>
          <w:p>
            <w:r>
              <w:rPr>
                <w:b w:val="false"/>
                <w:bCs w:val="false"/>
                <w:strike w:val="false"/>
                <w:color w:val="1C211D"/>
                <w:sz w:val="20"/>
                <w:szCs w:val="20"/>
              </w:rPr>
              <w:t xml:space="preserve">Capsicum — colour is a Variety value, not a separate commodity</w:t>
            </w:r>
          </w:p>
        </w:tc>
      </w:tr>
      <w:tr>
        <w:tc>
          <w:tcPr>
            <w:tcW w:type="dxa" w:w="4800"/>
            <w:tcMar>
              <w:top w:type="dxa" w:w="80"/>
              <w:left w:type="dxa" w:w="100"/>
              <w:bottom w:type="dxa" w:w="80"/>
              <w:right w:type="dxa" w:w="100"/>
            </w:tcMar>
          </w:tcPr>
          <w:p>
            <w:r>
              <w:rPr>
                <w:b w:val="false"/>
                <w:bCs w:val="false"/>
                <w:strike/>
                <w:color w:val="A13B2C"/>
                <w:sz w:val="20"/>
                <w:szCs w:val="20"/>
              </w:rPr>
              <w:t xml:space="preserve">Muhana Mandi</w:t>
            </w:r>
          </w:p>
        </w:tc>
        <w:tc>
          <w:tcPr>
            <w:tcW w:type="dxa" w:w="5000"/>
            <w:tcMar>
              <w:top w:type="dxa" w:w="80"/>
              <w:left w:type="dxa" w:w="100"/>
              <w:bottom w:type="dxa" w:w="80"/>
              <w:right w:type="dxa" w:w="100"/>
            </w:tcMar>
          </w:tcPr>
          <w:p>
            <w:r>
              <w:rPr>
                <w:b w:val="false"/>
                <w:bCs w:val="false"/>
                <w:strike w:val="false"/>
                <w:color w:val="1C211D"/>
                <w:sz w:val="20"/>
                <w:szCs w:val="20"/>
              </w:rPr>
              <w:t xml:space="preserve">Jaipur (F&amp;V) APMC — Muhana is the site name; the official market field is this</w:t>
            </w:r>
          </w:p>
        </w:tc>
      </w:tr>
    </w:tbl>
    <w:p>
      <w:pPr>
        <w:spacing w:before="2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400"/>
      </w:tblGrid>
      <w:tr>
        <w:tc>
          <w:tcPr>
            <w:tcW w:type="dxa" w:w="1800"/>
            <w:shd w:fill="ECEBE4" w:val="clear"/>
            <w:tcMar>
              <w:top w:type="dxa" w:w="80"/>
              <w:left w:type="dxa" w:w="100"/>
              <w:bottom w:type="dxa" w:w="80"/>
              <w:right w:type="dxa" w:w="100"/>
            </w:tcMar>
          </w:tcPr>
          <w:p>
            <w:r>
              <w:rPr>
                <w:b/>
                <w:bCs/>
                <w:strike w:val="false"/>
                <w:color w:val="1C211D"/>
                <w:sz w:val="20"/>
                <w:szCs w:val="20"/>
              </w:rPr>
              <w:t xml:space="preserve">Requested</w:t>
            </w:r>
          </w:p>
        </w:tc>
        <w:tc>
          <w:tcPr>
            <w:tcW w:type="dxa" w:w="4600"/>
            <w:shd w:fill="ECEBE4" w:val="clear"/>
            <w:tcMar>
              <w:top w:type="dxa" w:w="80"/>
              <w:left w:type="dxa" w:w="100"/>
              <w:bottom w:type="dxa" w:w="80"/>
              <w:right w:type="dxa" w:w="100"/>
            </w:tcMar>
          </w:tcPr>
          <w:p>
            <w:r>
              <w:rPr>
                <w:b/>
                <w:bCs/>
                <w:strike w:val="false"/>
                <w:color w:val="1C211D"/>
                <w:sz w:val="20"/>
                <w:szCs w:val="20"/>
              </w:rPr>
              <w:t xml:space="preserve">Finding</w:t>
            </w:r>
          </w:p>
        </w:tc>
        <w:tc>
          <w:tcPr>
            <w:tcW w:type="dxa" w:w="2400"/>
            <w:shd w:fill="ECEBE4" w:val="clear"/>
            <w:tcMar>
              <w:top w:type="dxa" w:w="80"/>
              <w:left w:type="dxa" w:w="100"/>
              <w:bottom w:type="dxa" w:w="80"/>
              <w:right w:type="dxa" w:w="100"/>
            </w:tcMar>
          </w:tcPr>
          <w:p>
            <w:r>
              <w:rPr>
                <w:b/>
                <w:bCs/>
                <w:strike w:val="false"/>
                <w:color w:val="1C211D"/>
                <w:sz w:val="20"/>
                <w:szCs w:val="20"/>
              </w:rPr>
              <w:t xml:space="preserve">Resolution</w:t>
            </w:r>
          </w:p>
        </w:tc>
      </w:tr>
      <w:tr>
        <w:tc>
          <w:tcPr>
            <w:tcW w:type="dxa" w:w="1800"/>
            <w:tcMar>
              <w:top w:type="dxa" w:w="80"/>
              <w:left w:type="dxa" w:w="100"/>
              <w:bottom w:type="dxa" w:w="80"/>
              <w:right w:type="dxa" w:w="100"/>
            </w:tcMar>
          </w:tcPr>
          <w:p>
            <w:r>
              <w:rPr>
                <w:b w:val="false"/>
                <w:bCs w:val="false"/>
                <w:strike w:val="false"/>
                <w:color w:val="1C211D"/>
                <w:sz w:val="20"/>
                <w:szCs w:val="20"/>
              </w:rPr>
              <w:t xml:space="preserve">Naga Chilli</w:t>
            </w:r>
          </w:p>
        </w:tc>
        <w:tc>
          <w:tcPr>
            <w:tcW w:type="dxa" w:w="4600"/>
            <w:tcMar>
              <w:top w:type="dxa" w:w="80"/>
              <w:left w:type="dxa" w:w="100"/>
              <w:bottom w:type="dxa" w:w="80"/>
              <w:right w:type="dxa" w:w="100"/>
            </w:tcMar>
          </w:tcPr>
          <w:p>
            <w:r>
              <w:rPr>
                <w:b w:val="false"/>
                <w:bCs w:val="false"/>
                <w:strike w:val="false"/>
                <w:color w:val="1C211D"/>
                <w:sz w:val="20"/>
                <w:szCs w:val="20"/>
              </w:rPr>
              <w:t xml:space="preserve">Checked 13 dates, 2023-2026, every state/market in India — zero data anywhere. Not a gap; genuinely untracked.</w:t>
            </w:r>
          </w:p>
        </w:tc>
        <w:tc>
          <w:tcPr>
            <w:tcW w:type="dxa" w:w="2400"/>
            <w:tcMar>
              <w:top w:type="dxa" w:w="80"/>
              <w:left w:type="dxa" w:w="100"/>
              <w:bottom w:type="dxa" w:w="80"/>
              <w:right w:type="dxa" w:w="100"/>
            </w:tcMar>
          </w:tcPr>
          <w:p>
            <w:r>
              <w:rPr>
                <w:b w:val="false"/>
                <w:bCs w:val="false"/>
                <w:strike w:val="false"/>
                <w:color w:val="1C211D"/>
                <w:sz w:val="20"/>
                <w:szCs w:val="20"/>
              </w:rPr>
              <w:t xml:space="preserve">Substituted: Green Chilli</w:t>
            </w:r>
          </w:p>
        </w:tc>
      </w:tr>
      <w:tr>
        <w:tc>
          <w:tcPr>
            <w:tcW w:type="dxa" w:w="1800"/>
            <w:tcMar>
              <w:top w:type="dxa" w:w="80"/>
              <w:left w:type="dxa" w:w="100"/>
              <w:bottom w:type="dxa" w:w="80"/>
              <w:right w:type="dxa" w:w="100"/>
            </w:tcMar>
          </w:tcPr>
          <w:p>
            <w:r>
              <w:rPr>
                <w:b w:val="false"/>
                <w:bCs w:val="false"/>
                <w:strike w:val="false"/>
                <w:color w:val="1C211D"/>
                <w:sz w:val="20"/>
                <w:szCs w:val="20"/>
              </w:rPr>
              <w:t xml:space="preserve">Cherry Tomato</w:t>
            </w:r>
          </w:p>
        </w:tc>
        <w:tc>
          <w:tcPr>
            <w:tcW w:type="dxa" w:w="4600"/>
            <w:tcMar>
              <w:top w:type="dxa" w:w="80"/>
              <w:left w:type="dxa" w:w="100"/>
              <w:bottom w:type="dxa" w:w="80"/>
              <w:right w:type="dxa" w:w="100"/>
            </w:tcMar>
          </w:tcPr>
          <w:p>
            <w:r>
              <w:rPr>
                <w:b w:val="false"/>
                <w:bCs w:val="false"/>
                <w:strike w:val="false"/>
                <w:color w:val="1C211D"/>
                <w:sz w:val="20"/>
                <w:szCs w:val="20"/>
              </w:rPr>
              <w:t xml:space="preserve">No separate listing in any commodity group — only plain "Tomato" exists.</w:t>
            </w:r>
          </w:p>
        </w:tc>
        <w:tc>
          <w:tcPr>
            <w:tcW w:type="dxa" w:w="2400"/>
            <w:tcMar>
              <w:top w:type="dxa" w:w="80"/>
              <w:left w:type="dxa" w:w="100"/>
              <w:bottom w:type="dxa" w:w="80"/>
              <w:right w:type="dxa" w:w="100"/>
            </w:tcMar>
          </w:tcPr>
          <w:p>
            <w:r>
              <w:rPr>
                <w:b w:val="false"/>
                <w:bCs w:val="false"/>
                <w:strike w:val="false"/>
                <w:color w:val="1C211D"/>
                <w:sz w:val="20"/>
                <w:szCs w:val="20"/>
              </w:rPr>
              <w:t xml:space="preserve">Substituted: Tomato</w:t>
            </w:r>
          </w:p>
        </w:tc>
      </w:tr>
      <w:tr>
        <w:tc>
          <w:tcPr>
            <w:tcW w:type="dxa" w:w="1800"/>
            <w:tcMar>
              <w:top w:type="dxa" w:w="80"/>
              <w:left w:type="dxa" w:w="100"/>
              <w:bottom w:type="dxa" w:w="80"/>
              <w:right w:type="dxa" w:w="100"/>
            </w:tcMar>
          </w:tcPr>
          <w:p>
            <w:r>
              <w:rPr>
                <w:b w:val="false"/>
                <w:bCs w:val="false"/>
                <w:strike w:val="false"/>
                <w:color w:val="1C211D"/>
                <w:sz w:val="20"/>
                <w:szCs w:val="20"/>
              </w:rPr>
              <w:t xml:space="preserve">Zucchini</w:t>
            </w:r>
          </w:p>
        </w:tc>
        <w:tc>
          <w:tcPr>
            <w:tcW w:type="dxa" w:w="4600"/>
            <w:tcMar>
              <w:top w:type="dxa" w:w="80"/>
              <w:left w:type="dxa" w:w="100"/>
              <w:bottom w:type="dxa" w:w="80"/>
              <w:right w:type="dxa" w:w="100"/>
            </w:tcMar>
          </w:tcPr>
          <w:p>
            <w:r>
              <w:rPr>
                <w:b w:val="false"/>
                <w:bCs w:val="false"/>
                <w:strike w:val="false"/>
                <w:color w:val="1C211D"/>
                <w:sz w:val="20"/>
                <w:szCs w:val="20"/>
              </w:rPr>
              <w:t xml:space="preserve">No listing and no close substitute in any commodity group.</w:t>
            </w:r>
          </w:p>
        </w:tc>
        <w:tc>
          <w:tcPr>
            <w:tcW w:type="dxa" w:w="2400"/>
            <w:tcMar>
              <w:top w:type="dxa" w:w="80"/>
              <w:left w:type="dxa" w:w="100"/>
              <w:bottom w:type="dxa" w:w="80"/>
              <w:right w:type="dxa" w:w="100"/>
            </w:tcMar>
          </w:tcPr>
          <w:p>
            <w:r>
              <w:rPr>
                <w:b w:val="false"/>
                <w:bCs w:val="false"/>
                <w:strike w:val="false"/>
                <w:color w:val="1C211D"/>
                <w:sz w:val="20"/>
                <w:szCs w:val="20"/>
              </w:rPr>
              <w:t xml:space="preserve">Dropped — logged in Fetch_Gaps as untracked</w:t>
            </w:r>
          </w:p>
        </w:tc>
      </w:tr>
    </w:tbl>
    <w:p>
      <w:pPr>
        <w:spacing w:after="160"/>
      </w:pPr>
      <w:r>
        <w:rPr>
          <w:i w:val="false"/>
          <w:iCs w:val="false"/>
          <w:color w:val="1C211D"/>
          <w:sz w:val="22"/>
          <w:szCs w:val="22"/>
        </w:rPr>
        <w:t xml:space="preserve">Green Chilli and Tomato are real, independently verified data (both mandis, confirmed live) — labeled in the sheet as substitutes, not silently merged under the original crop’s name.</w:t>
      </w:r>
    </w:p>
    <w:p>
      <w:pPr>
        <w:pStyle w:val="Heading2"/>
        <w:pBdr>
          <w:bottom w:val="single" w:color="D9D6CC" w:sz="4" w:space="6"/>
        </w:pBdr>
        <w:spacing w:after="140" w:before="380"/>
      </w:pPr>
      <w:r>
        <w:rPr>
          <w:rFonts w:ascii="Courier New" w:cs="Courier New" w:eastAsia="Courier New" w:hAnsi="Courier New"/>
          <w:b/>
          <w:bCs/>
          <w:color w:val="2F6B4F"/>
          <w:sz w:val="24"/>
          <w:szCs w:val="24"/>
        </w:rPr>
        <w:t xml:space="preserve">04  </w:t>
      </w:r>
      <w:r>
        <w:rPr>
          <w:b/>
          <w:bCs/>
          <w:color w:val="1C211D"/>
          <w:sz w:val="28"/>
          <w:szCs w:val="28"/>
        </w:rPr>
        <w:t xml:space="preserve">How it’s extracted (running now)</w:t>
      </w:r>
    </w:p>
    <w:p>
      <w:pPr>
        <w:spacing w:after="200"/>
      </w:pPr>
      <w:r>
        <w:rPr>
          <w:i/>
          <w:iCs/>
          <w:color w:val="565F58"/>
          <w:sz w:val="21"/>
          <w:szCs w:val="21"/>
        </w:rPr>
        <w:t xml:space="preserve">Google Apps Script, calling Agmarknet’s own API in parallel batches, writing to Raw_Data on a self-rescheduling trigger.</w:t>
      </w:r>
    </w:p>
    <w:p>
      <w:pPr>
        <w:pStyle w:val="ListParagraph"/>
        <w:numPr>
          <w:ilvl w:val="0"/>
          <w:numId w:val="2"/>
        </w:numPr>
        <w:spacing w:after="80"/>
      </w:pPr>
      <w:r>
        <w:rPr>
          <w:color w:val="1C211D"/>
          <w:sz w:val="22"/>
          <w:szCs w:val="22"/>
        </w:rPr>
        <w:t xml:space="preserve">Call Agmarknet’s API directly — one call per (crop, date) pair returns that day’s prices for every market in India reporting that commodity. No API key required.</w:t>
      </w:r>
    </w:p>
    <w:p>
      <w:pPr>
        <w:pStyle w:val="ListParagraph"/>
        <w:numPr>
          <w:ilvl w:val="0"/>
          <w:numId w:val="2"/>
        </w:numPr>
        <w:spacing w:after="80"/>
      </w:pPr>
      <w:r>
        <w:rPr>
          <w:color w:val="1C211D"/>
          <w:sz w:val="22"/>
          <w:szCs w:val="22"/>
        </w:rPr>
        <w:t xml:space="preserve">Filter to our two mandis in-memory — only rows where Market = "APMC Azadpur" or "Jaipur (F&amp;V) APMC" are kept; everything else discarded immediately.</w:t>
      </w:r>
    </w:p>
    <w:p>
      <w:pPr>
        <w:pStyle w:val="ListParagraph"/>
        <w:numPr>
          <w:ilvl w:val="0"/>
          <w:numId w:val="2"/>
        </w:numPr>
        <w:spacing w:after="80"/>
      </w:pPr>
      <w:r>
        <w:rPr>
          <w:color w:val="1C211D"/>
          <w:sz w:val="22"/>
          <w:szCs w:val="22"/>
        </w:rPr>
        <w:t xml:space="preserve">Fetch in parallel batches, adaptively paced — batches of up to 10 requests fire together via UrlFetchApp.fetchAll(). Batch size automatically shrinks on a real HTTP 429 and grows back after clean runs.</w:t>
      </w:r>
    </w:p>
    <w:p>
      <w:pPr>
        <w:pStyle w:val="ListParagraph"/>
        <w:numPr>
          <w:ilvl w:val="0"/>
          <w:numId w:val="2"/>
        </w:numPr>
        <w:spacing w:after="80"/>
      </w:pPr>
      <w:r>
        <w:rPr>
          <w:color w:val="1C211D"/>
          <w:sz w:val="22"/>
          <w:szCs w:val="22"/>
        </w:rPr>
        <w:t xml:space="preserve">Resume automatically across runs — a self-created trigger continues the sync past Apps Script’s 6-minute execution limit until the full 5-crop x 36-month range is complete. A LockService guard prevents duplicate concurrent runs.</w:t>
      </w:r>
    </w:p>
    <w:p>
      <w:pPr>
        <w:pStyle w:val="ListParagraph"/>
        <w:numPr>
          <w:ilvl w:val="0"/>
          <w:numId w:val="2"/>
        </w:numPr>
        <w:spacing w:after="80"/>
      </w:pPr>
      <w:r>
        <w:rPr>
          <w:color w:val="1C211D"/>
          <w:sz w:val="22"/>
          <w:szCs w:val="22"/>
        </w:rPr>
        <w:t xml:space="preserve">Log real gaps, don’t fake them — a date that fails even after retry is logged to Fetch_Gaps with a reason, not silently dropped or backfilled with synthetic values.</w:t>
      </w:r>
    </w:p>
    <w:p>
      <w:pPr>
        <w:pStyle w:val="Heading2"/>
        <w:pBdr>
          <w:bottom w:val="single" w:color="D9D6CC" w:sz="4" w:space="6"/>
        </w:pBdr>
        <w:spacing w:after="140" w:before="380"/>
      </w:pPr>
      <w:r>
        <w:rPr>
          <w:rFonts w:ascii="Courier New" w:cs="Courier New" w:eastAsia="Courier New" w:hAnsi="Courier New"/>
          <w:b/>
          <w:bCs/>
          <w:color w:val="2F6B4F"/>
          <w:sz w:val="24"/>
          <w:szCs w:val="24"/>
        </w:rPr>
        <w:t xml:space="preserve">05  </w:t>
      </w:r>
      <w:r>
        <w:rPr>
          <w:b/>
          <w:bCs/>
          <w:color w:val="1C211D"/>
          <w:sz w:val="28"/>
          <w:szCs w:val="28"/>
        </w:rPr>
        <w:t xml:space="preserve">Dashboard: Looker Studio</w:t>
      </w:r>
    </w:p>
    <w:p>
      <w:pPr>
        <w:spacing w:after="200"/>
      </w:pPr>
      <w:r>
        <w:rPr>
          <w:i/>
          <w:iCs/>
          <w:color w:val="565F58"/>
          <w:sz w:val="21"/>
          <w:szCs w:val="21"/>
        </w:rPr>
        <w:t xml:space="preserve">All unit conversion and seasonality logic is done as Looker Studio calculated fields — the Raw_Data sheet itself is never modified.</w:t>
      </w:r>
    </w:p>
    <w:p>
      <w:pPr>
        <w:pStyle w:val="ListParagraph"/>
        <w:numPr>
          <w:ilvl w:val="0"/>
          <w:numId w:val="2"/>
        </w:numPr>
        <w:spacing w:after="80"/>
      </w:pPr>
      <w:r>
        <w:rPr>
          <w:color w:val="1C211D"/>
          <w:sz w:val="22"/>
          <w:szCs w:val="22"/>
        </w:rPr>
        <w:t xml:space="preserve">Connect the source: Looker Studio → Add Data → Google Sheets → Raw_Data tab.</w:t>
      </w:r>
    </w:p>
    <w:p>
      <w:pPr>
        <w:pStyle w:val="ListParagraph"/>
        <w:numPr>
          <w:ilvl w:val="0"/>
          <w:numId w:val="2"/>
        </w:numPr>
        <w:spacing w:after="80"/>
      </w:pPr>
      <w:r>
        <w:rPr>
          <w:color w:val="1C211D"/>
          <w:sz w:val="22"/>
          <w:szCs w:val="22"/>
        </w:rPr>
        <w:t xml:space="preserve">Unit Selector parameter (kg / quintal / ton) drives a calculated Price_Display field.</w:t>
      </w:r>
    </w:p>
    <w:p>
      <w:pPr>
        <w:pStyle w:val="ListParagraph"/>
        <w:numPr>
          <w:ilvl w:val="0"/>
          <w:numId w:val="2"/>
        </w:numPr>
        <w:spacing w:after="80"/>
      </w:pPr>
      <w:r>
        <w:rPr>
          <w:color w:val="1C211D"/>
          <w:sz w:val="22"/>
          <w:szCs w:val="22"/>
        </w:rPr>
        <w:t xml:space="preserve">Year = YEAR(Arrival_Date), used as the breakdown dimension for the seasonality overlay.</w:t>
      </w:r>
    </w:p>
    <w:p>
      <w:pPr>
        <w:pStyle w:val="ListParagraph"/>
        <w:numPr>
          <w:ilvl w:val="0"/>
          <w:numId w:val="2"/>
        </w:numPr>
        <w:spacing w:after="80"/>
      </w:pPr>
      <w:r>
        <w:rPr>
          <w:color w:val="1C211D"/>
          <w:sz w:val="22"/>
          <w:szCs w:val="22"/>
        </w:rPr>
        <w:t xml:space="preserve">Filter controls: Crop_Label, Mandi_Label, and the Unit Selector — every chart obeys the same three controls.</w:t>
      </w:r>
    </w:p>
    <w:p>
      <w:pPr>
        <w:pStyle w:val="ListParagraph"/>
        <w:numPr>
          <w:ilvl w:val="0"/>
          <w:numId w:val="2"/>
        </w:numPr>
        <w:spacing w:after="80"/>
      </w:pPr>
      <w:r>
        <w:rPr>
          <w:color w:val="1C211D"/>
          <w:sz w:val="22"/>
          <w:szCs w:val="22"/>
        </w:rPr>
        <w:t xml:space="preserve">Seasonality overlay: Time series, Month-Day on the x-axis, Year as breakdown, Price_Display as the metric — overlays 2023/2024/2025/2026 as separate lines on one seasonal axis.</w:t>
      </w:r>
    </w:p>
    <w:p>
      <w:pPr>
        <w:pStyle w:val="ListParagraph"/>
        <w:numPr>
          <w:ilvl w:val="0"/>
          <w:numId w:val="2"/>
        </w:numPr>
        <w:spacing w:after="80"/>
      </w:pPr>
      <w:r>
        <w:rPr>
          <w:color w:val="1C211D"/>
          <w:sz w:val="22"/>
          <w:szCs w:val="22"/>
        </w:rPr>
        <w:t xml:space="preserve">Grade/quantity view: real grade labels (FAQ, Grade A, Medium, etc.), not a forced A/B binary.</w:t>
      </w:r>
    </w:p>
    <w:p>
      <w:pPr>
        <w:pStyle w:val="Heading2"/>
        <w:pBdr>
          <w:bottom w:val="single" w:color="D9D6CC" w:sz="4" w:space="6"/>
        </w:pBdr>
        <w:spacing w:after="140" w:before="380"/>
      </w:pPr>
      <w:r>
        <w:rPr>
          <w:rFonts w:ascii="Courier New" w:cs="Courier New" w:eastAsia="Courier New" w:hAnsi="Courier New"/>
          <w:b/>
          <w:bCs/>
          <w:color w:val="2F6B4F"/>
          <w:sz w:val="24"/>
          <w:szCs w:val="24"/>
        </w:rPr>
        <w:t xml:space="preserve">06  </w:t>
      </w:r>
      <w:r>
        <w:rPr>
          <w:b/>
          <w:bCs/>
          <w:color w:val="1C211D"/>
          <w:sz w:val="28"/>
          <w:szCs w:val="28"/>
        </w:rPr>
        <w:t xml:space="preserve">Open items</w:t>
      </w:r>
    </w:p>
    <w:p>
      <w:pPr>
        <w:spacing w:after="60" w:before="200"/>
      </w:pPr>
      <w:r>
        <w:rPr>
          <w:rFonts w:ascii="Courier New" w:cs="Courier New" w:eastAsia="Courier New" w:hAnsi="Courier New"/>
          <w:b/>
          <w:bCs/>
          <w:color w:val="B3811F"/>
          <w:sz w:val="18"/>
          <w:szCs w:val="18"/>
        </w:rPr>
        <w:t xml:space="preserve">[watch]  </w:t>
      </w:r>
      <w:r>
        <w:rPr>
          <w:b/>
          <w:bCs/>
          <w:color w:val="1C211D"/>
          <w:sz w:val="22"/>
          <w:szCs w:val="22"/>
        </w:rPr>
        <w:t xml:space="preserve">Grade is not a clean A/B split</w:t>
      </w:r>
    </w:p>
    <w:p>
      <w:pPr>
        <w:spacing w:after="160"/>
      </w:pPr>
      <w:r>
        <w:rPr>
          <w:i w:val="false"/>
          <w:iCs w:val="false"/>
          <w:color w:val="1C211D"/>
          <w:sz w:val="22"/>
          <w:szCs w:val="22"/>
        </w:rPr>
        <w:t xml:space="preserve">Live data shows ~8 grade labels per market (FAQ, Local, Medium, Grade A/B/C, Small, Large). The dashboard shows these as-is rather than forcing a binary — more honest to the source data.</w:t>
      </w:r>
    </w:p>
    <w:p>
      <w:pPr>
        <w:spacing w:after="60" w:before="200"/>
      </w:pPr>
      <w:r>
        <w:rPr>
          <w:rFonts w:ascii="Courier New" w:cs="Courier New" w:eastAsia="Courier New" w:hAnsi="Courier New"/>
          <w:b/>
          <w:bCs/>
          <w:color w:val="B3811F"/>
          <w:sz w:val="18"/>
          <w:szCs w:val="18"/>
        </w:rPr>
        <w:t xml:space="preserve">[watch]  </w:t>
      </w:r>
      <w:r>
        <w:rPr>
          <w:b/>
          <w:bCs/>
          <w:color w:val="1C211D"/>
          <w:sz w:val="22"/>
          <w:szCs w:val="22"/>
        </w:rPr>
        <w:t xml:space="preserve">Substituted crops have real gaps</w:t>
      </w:r>
    </w:p>
    <w:p>
      <w:pPr>
        <w:spacing w:after="160"/>
      </w:pPr>
      <w:r>
        <w:rPr>
          <w:i w:val="false"/>
          <w:iCs w:val="false"/>
          <w:color w:val="1C211D"/>
          <w:sz w:val="22"/>
          <w:szCs w:val="22"/>
        </w:rPr>
        <w:t xml:space="preserve">Green Chilli and Tomato have confirmed real data at both mandis, but not every single day (normal — arrivals aren’t daily). Visible in Fetch_Gaps, not hidden.</w:t>
      </w:r>
    </w:p>
    <w:p>
      <w:pPr>
        <w:spacing w:after="60" w:before="200"/>
      </w:pPr>
      <w:r>
        <w:rPr>
          <w:rFonts w:ascii="Courier New" w:cs="Courier New" w:eastAsia="Courier New" w:hAnsi="Courier New"/>
          <w:b/>
          <w:bCs/>
          <w:color w:val="2F6B4F"/>
          <w:sz w:val="18"/>
          <w:szCs w:val="18"/>
        </w:rPr>
        <w:t xml:space="preserve">[resolved]  </w:t>
      </w:r>
      <w:r>
        <w:rPr>
          <w:b/>
          <w:bCs/>
          <w:color w:val="1C211D"/>
          <w:sz w:val="22"/>
          <w:szCs w:val="22"/>
        </w:rPr>
        <w:t xml:space="preserve">Private source — confirmed unavailable, decision made</w:t>
      </w:r>
    </w:p>
    <w:p>
      <w:pPr>
        <w:spacing w:after="160"/>
      </w:pPr>
      <w:r>
        <w:rPr>
          <w:i w:val="false"/>
          <w:iCs w:val="false"/>
          <w:color w:val="1C211D"/>
          <w:sz w:val="22"/>
          <w:szCs w:val="22"/>
        </w:rPr>
        <w:t xml:space="preserve">Agriwatch (paywalled), CommodityOnline free tier (mirrors Agmarknet, not independent), e-NAM (public dashboard returns zero rows), and Kisan Suvidha (not a price database) were all checked live. None qualify. No synthetic/simulated "private" data is used, since that would misrepresent the methodology.</w:t>
      </w:r>
    </w:p>
    <w:p>
      <w:pPr>
        <w:pStyle w:val="Heading2"/>
        <w:pBdr>
          <w:bottom w:val="single" w:color="D9D6CC" w:sz="4" w:space="6"/>
        </w:pBdr>
        <w:spacing w:after="140" w:before="380"/>
      </w:pPr>
      <w:r>
        <w:rPr>
          <w:rFonts w:ascii="Courier New" w:cs="Courier New" w:eastAsia="Courier New" w:hAnsi="Courier New"/>
          <w:b/>
          <w:bCs/>
          <w:color w:val="2F6B4F"/>
          <w:sz w:val="24"/>
          <w:szCs w:val="24"/>
        </w:rPr>
        <w:t xml:space="preserve">07  </w:t>
      </w:r>
      <w:r>
        <w:rPr>
          <w:b/>
          <w:bCs/>
          <w:color w:val="1C211D"/>
          <w:sz w:val="28"/>
          <w:szCs w:val="28"/>
        </w:rPr>
        <w:t xml:space="preserve">Result</w:t>
      </w:r>
    </w:p>
    <w:p>
      <w:pPr>
        <w:spacing w:after="200"/>
      </w:pPr>
      <w:r>
        <w:rPr>
          <w:i/>
          <w:iCs/>
          <w:color w:val="565F58"/>
          <w:sz w:val="21"/>
          <w:szCs w:val="21"/>
        </w:rPr>
        <w:t xml:space="preserve">What actually exists today: a working extraction pipeline, a populated dataset, and a live dashboard — not a plan, a delivered thing.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400"/>
      </w:tblGrid>
      <w:tr>
        <w:tc>
          <w:tcPr>
            <w:tcW w:type="dxa" w:w="4200"/>
            <w:shd w:fill="ECEBE4" w:val="clear"/>
            <w:tcMar>
              <w:top w:type="dxa" w:w="80"/>
              <w:left w:type="dxa" w:w="100"/>
              <w:bottom w:type="dxa" w:w="80"/>
              <w:right w:type="dxa" w:w="100"/>
            </w:tcMar>
          </w:tcPr>
          <w:p>
            <w:r>
              <w:rPr>
                <w:b/>
                <w:bCs/>
                <w:strike w:val="false"/>
                <w:color w:val="1C211D"/>
                <w:sz w:val="20"/>
                <w:szCs w:val="20"/>
              </w:rPr>
              <w:t xml:space="preserve">Crop</w:t>
            </w:r>
          </w:p>
        </w:tc>
        <w:tc>
          <w:tcPr>
            <w:tcW w:type="dxa" w:w="1600"/>
            <w:shd w:fill="ECEBE4" w:val="clear"/>
            <w:tcMar>
              <w:top w:type="dxa" w:w="80"/>
              <w:left w:type="dxa" w:w="100"/>
              <w:bottom w:type="dxa" w:w="80"/>
              <w:right w:type="dxa" w:w="100"/>
            </w:tcMar>
          </w:tcPr>
          <w:p>
            <w:r>
              <w:rPr>
                <w:b/>
                <w:bCs/>
                <w:strike w:val="false"/>
                <w:color w:val="1C211D"/>
                <w:sz w:val="20"/>
                <w:szCs w:val="20"/>
              </w:rPr>
              <w:t xml:space="preserve">Records</w:t>
            </w:r>
          </w:p>
        </w:tc>
        <w:tc>
          <w:tcPr>
            <w:tcW w:type="dxa" w:w="3400"/>
            <w:shd w:fill="ECEBE4" w:val="clear"/>
            <w:tcMar>
              <w:top w:type="dxa" w:w="80"/>
              <w:left w:type="dxa" w:w="100"/>
              <w:bottom w:type="dxa" w:w="80"/>
              <w:right w:type="dxa" w:w="100"/>
            </w:tcMar>
          </w:tcPr>
          <w:p>
            <w:r>
              <w:rPr>
                <w:b/>
                <w:bCs/>
                <w:strike w:val="false"/>
                <w:color w:val="1C211D"/>
                <w:sz w:val="20"/>
                <w:szCs w:val="20"/>
              </w:rPr>
              <w:t xml:space="preserve">Note</w:t>
            </w:r>
          </w:p>
        </w:tc>
      </w:tr>
      <w:tr>
        <w:tc>
          <w:tcPr>
            <w:tcW w:type="dxa" w:w="4200"/>
            <w:tcMar>
              <w:top w:type="dxa" w:w="80"/>
              <w:left w:type="dxa" w:w="100"/>
              <w:bottom w:type="dxa" w:w="80"/>
              <w:right w:type="dxa" w:w="100"/>
            </w:tcMar>
          </w:tcPr>
          <w:p>
            <w:r>
              <w:rPr>
                <w:b w:val="false"/>
                <w:bCs w:val="false"/>
                <w:strike w:val="false"/>
                <w:color w:val="1C211D"/>
                <w:sz w:val="20"/>
                <w:szCs w:val="20"/>
              </w:rPr>
              <w:t xml:space="preserve">Tomato (Cherry Tomato substitute)</w:t>
            </w:r>
          </w:p>
        </w:tc>
        <w:tc>
          <w:tcPr>
            <w:tcW w:type="dxa" w:w="1600"/>
            <w:tcMar>
              <w:top w:type="dxa" w:w="80"/>
              <w:left w:type="dxa" w:w="100"/>
              <w:bottom w:type="dxa" w:w="80"/>
              <w:right w:type="dxa" w:w="100"/>
            </w:tcMar>
          </w:tcPr>
          <w:p>
            <w:r>
              <w:rPr>
                <w:b w:val="false"/>
                <w:bCs w:val="false"/>
                <w:strike w:val="false"/>
                <w:color w:val="1C211D"/>
                <w:sz w:val="20"/>
                <w:szCs w:val="20"/>
              </w:rPr>
              <w:t xml:space="preserve">1,459</w:t>
            </w:r>
          </w:p>
        </w:tc>
        <w:tc>
          <w:tcPr>
            <w:tcW w:type="dxa" w:w="3400"/>
            <w:tcMar>
              <w:top w:type="dxa" w:w="80"/>
              <w:left w:type="dxa" w:w="100"/>
              <w:bottom w:type="dxa" w:w="80"/>
              <w:right w:type="dxa" w:w="100"/>
            </w:tcMar>
          </w:tcPr>
          <w:p>
            <w:r>
              <w:rPr>
                <w:b w:val="false"/>
                <w:bCs w:val="false"/>
                <w:strike w:val="false"/>
                <w:color w:val="1C211D"/>
                <w:sz w:val="20"/>
                <w:szCs w:val="20"/>
              </w:rPr>
              <w:t xml:space="preserve">Real data, both mandis</w:t>
            </w:r>
          </w:p>
        </w:tc>
      </w:tr>
      <w:tr>
        <w:tc>
          <w:tcPr>
            <w:tcW w:type="dxa" w:w="4200"/>
            <w:tcMar>
              <w:top w:type="dxa" w:w="80"/>
              <w:left w:type="dxa" w:w="100"/>
              <w:bottom w:type="dxa" w:w="80"/>
              <w:right w:type="dxa" w:w="100"/>
            </w:tcMar>
          </w:tcPr>
          <w:p>
            <w:r>
              <w:rPr>
                <w:b w:val="false"/>
                <w:bCs w:val="false"/>
                <w:strike w:val="false"/>
                <w:color w:val="1C211D"/>
                <w:sz w:val="20"/>
                <w:szCs w:val="20"/>
              </w:rPr>
              <w:t xml:space="preserve">English Cucumber</w:t>
            </w:r>
          </w:p>
        </w:tc>
        <w:tc>
          <w:tcPr>
            <w:tcW w:type="dxa" w:w="1600"/>
            <w:tcMar>
              <w:top w:type="dxa" w:w="80"/>
              <w:left w:type="dxa" w:w="100"/>
              <w:bottom w:type="dxa" w:w="80"/>
              <w:right w:type="dxa" w:w="100"/>
            </w:tcMar>
          </w:tcPr>
          <w:p>
            <w:r>
              <w:rPr>
                <w:b w:val="false"/>
                <w:bCs w:val="false"/>
                <w:strike w:val="false"/>
                <w:color w:val="1C211D"/>
                <w:sz w:val="20"/>
                <w:szCs w:val="20"/>
              </w:rPr>
              <w:t xml:space="preserve">1,441</w:t>
            </w:r>
          </w:p>
        </w:tc>
        <w:tc>
          <w:tcPr>
            <w:tcW w:type="dxa" w:w="3400"/>
            <w:tcMar>
              <w:top w:type="dxa" w:w="80"/>
              <w:left w:type="dxa" w:w="100"/>
              <w:bottom w:type="dxa" w:w="80"/>
              <w:right w:type="dxa" w:w="100"/>
            </w:tcMar>
          </w:tcPr>
          <w:p>
            <w:r>
              <w:rPr>
                <w:b w:val="false"/>
                <w:bCs w:val="false"/>
                <w:strike w:val="false"/>
                <w:color w:val="1C211D"/>
                <w:sz w:val="20"/>
                <w:szCs w:val="20"/>
              </w:rPr>
              <w:t xml:space="preserve">Original crop</w:t>
            </w:r>
          </w:p>
        </w:tc>
      </w:tr>
      <w:tr>
        <w:tc>
          <w:tcPr>
            <w:tcW w:type="dxa" w:w="4200"/>
            <w:tcMar>
              <w:top w:type="dxa" w:w="80"/>
              <w:left w:type="dxa" w:w="100"/>
              <w:bottom w:type="dxa" w:w="80"/>
              <w:right w:type="dxa" w:w="100"/>
            </w:tcMar>
          </w:tcPr>
          <w:p>
            <w:r>
              <w:rPr>
                <w:b w:val="false"/>
                <w:bCs w:val="false"/>
                <w:strike w:val="false"/>
                <w:color w:val="1C211D"/>
                <w:sz w:val="20"/>
                <w:szCs w:val="20"/>
              </w:rPr>
              <w:t xml:space="preserve">Green Chilli (Naga Chilli substitute)</w:t>
            </w:r>
          </w:p>
        </w:tc>
        <w:tc>
          <w:tcPr>
            <w:tcW w:type="dxa" w:w="1600"/>
            <w:tcMar>
              <w:top w:type="dxa" w:w="80"/>
              <w:left w:type="dxa" w:w="100"/>
              <w:bottom w:type="dxa" w:w="80"/>
              <w:right w:type="dxa" w:w="100"/>
            </w:tcMar>
          </w:tcPr>
          <w:p>
            <w:r>
              <w:rPr>
                <w:b w:val="false"/>
                <w:bCs w:val="false"/>
                <w:strike w:val="false"/>
                <w:color w:val="1C211D"/>
                <w:sz w:val="20"/>
                <w:szCs w:val="20"/>
              </w:rPr>
              <w:t xml:space="preserve">1,434</w:t>
            </w:r>
          </w:p>
        </w:tc>
        <w:tc>
          <w:tcPr>
            <w:tcW w:type="dxa" w:w="3400"/>
            <w:tcMar>
              <w:top w:type="dxa" w:w="80"/>
              <w:left w:type="dxa" w:w="100"/>
              <w:bottom w:type="dxa" w:w="80"/>
              <w:right w:type="dxa" w:w="100"/>
            </w:tcMar>
          </w:tcPr>
          <w:p>
            <w:r>
              <w:rPr>
                <w:b w:val="false"/>
                <w:bCs w:val="false"/>
                <w:strike w:val="false"/>
                <w:color w:val="1C211D"/>
                <w:sz w:val="20"/>
                <w:szCs w:val="20"/>
              </w:rPr>
              <w:t xml:space="preserve">Real data, both mandis</w:t>
            </w:r>
          </w:p>
        </w:tc>
      </w:tr>
      <w:tr>
        <w:tc>
          <w:tcPr>
            <w:tcW w:type="dxa" w:w="4200"/>
            <w:tcMar>
              <w:top w:type="dxa" w:w="80"/>
              <w:left w:type="dxa" w:w="100"/>
              <w:bottom w:type="dxa" w:w="80"/>
              <w:right w:type="dxa" w:w="100"/>
            </w:tcMar>
          </w:tcPr>
          <w:p>
            <w:r>
              <w:rPr>
                <w:b w:val="false"/>
                <w:bCs w:val="false"/>
                <w:strike w:val="false"/>
                <w:color w:val="1C211D"/>
                <w:sz w:val="20"/>
                <w:szCs w:val="20"/>
              </w:rPr>
              <w:t xml:space="preserve">Coloured Capsicum</w:t>
            </w:r>
          </w:p>
        </w:tc>
        <w:tc>
          <w:tcPr>
            <w:tcW w:type="dxa" w:w="1600"/>
            <w:tcMar>
              <w:top w:type="dxa" w:w="80"/>
              <w:left w:type="dxa" w:w="100"/>
              <w:bottom w:type="dxa" w:w="80"/>
              <w:right w:type="dxa" w:w="100"/>
            </w:tcMar>
          </w:tcPr>
          <w:p>
            <w:r>
              <w:rPr>
                <w:b w:val="false"/>
                <w:bCs w:val="false"/>
                <w:strike w:val="false"/>
                <w:color w:val="1C211D"/>
                <w:sz w:val="20"/>
                <w:szCs w:val="20"/>
              </w:rPr>
              <w:t xml:space="preserve">1,373</w:t>
            </w:r>
          </w:p>
        </w:tc>
        <w:tc>
          <w:tcPr>
            <w:tcW w:type="dxa" w:w="3400"/>
            <w:tcMar>
              <w:top w:type="dxa" w:w="80"/>
              <w:left w:type="dxa" w:w="100"/>
              <w:bottom w:type="dxa" w:w="80"/>
              <w:right w:type="dxa" w:w="100"/>
            </w:tcMar>
          </w:tcPr>
          <w:p>
            <w:r>
              <w:rPr>
                <w:b w:val="false"/>
                <w:bCs w:val="false"/>
                <w:strike w:val="false"/>
                <w:color w:val="1C211D"/>
                <w:sz w:val="20"/>
                <w:szCs w:val="20"/>
              </w:rPr>
              <w:t xml:space="preserve">Original crop</w:t>
            </w:r>
          </w:p>
        </w:tc>
      </w:tr>
      <w:tr>
        <w:tc>
          <w:tcPr>
            <w:tcW w:type="dxa" w:w="4200"/>
            <w:tcMar>
              <w:top w:type="dxa" w:w="80"/>
              <w:left w:type="dxa" w:w="100"/>
              <w:bottom w:type="dxa" w:w="80"/>
              <w:right w:type="dxa" w:w="100"/>
            </w:tcMar>
          </w:tcPr>
          <w:p>
            <w:r>
              <w:rPr>
                <w:b w:val="false"/>
                <w:bCs w:val="false"/>
                <w:strike w:val="false"/>
                <w:color w:val="1C211D"/>
                <w:sz w:val="20"/>
                <w:szCs w:val="20"/>
              </w:rPr>
              <w:t xml:space="preserve">Karbuja (Muskmelon)</w:t>
            </w:r>
          </w:p>
        </w:tc>
        <w:tc>
          <w:tcPr>
            <w:tcW w:type="dxa" w:w="1600"/>
            <w:tcMar>
              <w:top w:type="dxa" w:w="80"/>
              <w:left w:type="dxa" w:w="100"/>
              <w:bottom w:type="dxa" w:w="80"/>
              <w:right w:type="dxa" w:w="100"/>
            </w:tcMar>
          </w:tcPr>
          <w:p>
            <w:r>
              <w:rPr>
                <w:b w:val="false"/>
                <w:bCs w:val="false"/>
                <w:strike w:val="false"/>
                <w:color w:val="1C211D"/>
                <w:sz w:val="20"/>
                <w:szCs w:val="20"/>
              </w:rPr>
              <w:t xml:space="preserve">997</w:t>
            </w:r>
          </w:p>
        </w:tc>
        <w:tc>
          <w:tcPr>
            <w:tcW w:type="dxa" w:w="3400"/>
            <w:tcMar>
              <w:top w:type="dxa" w:w="80"/>
              <w:left w:type="dxa" w:w="100"/>
              <w:bottom w:type="dxa" w:w="80"/>
              <w:right w:type="dxa" w:w="100"/>
            </w:tcMar>
          </w:tcPr>
          <w:p>
            <w:r>
              <w:rPr>
                <w:b w:val="false"/>
                <w:bCs w:val="false"/>
                <w:strike w:val="false"/>
                <w:color w:val="1C211D"/>
                <w:sz w:val="20"/>
                <w:szCs w:val="20"/>
              </w:rPr>
              <w:t xml:space="preserve">Original crop</w:t>
            </w:r>
          </w:p>
        </w:tc>
      </w:tr>
    </w:tbl>
    <w:p>
      <w:pPr>
        <w:spacing w:after="160"/>
      </w:pPr>
      <w:r>
        <w:rPr>
          <w:i w:val="false"/>
          <w:iCs w:val="false"/>
          <w:color w:val="1C211D"/>
          <w:sz w:val="22"/>
          <w:szCs w:val="22"/>
        </w:rPr>
        <w:t xml:space="preserve">~6,700 real price/arrival records collected as of this write-up, spanning 25-Sep-2023 to present — the full 36-month window — across 5 crops and both target mandis. Zucchini is separately logged as confirmed untracked by any Indian government mandi system, not silently omitted.</w:t>
      </w:r>
    </w:p>
    <w:p>
      <w:pPr>
        <w:spacing w:after="160" w:before="160"/>
      </w:pPr>
      <w:r>
        <w:rPr>
          <w:b/>
          <w:bCs/>
          <w:color w:val="1C211D"/>
          <w:sz w:val="21"/>
          <w:szCs w:val="21"/>
        </w:rPr>
        <w:t xml:space="preserve">Live dashboard: </w:t>
      </w:r>
      <w:hyperlink w:history="1" r:id="rIda5w5xt-_07v8oxi54oi8d">
        <w:r>
          <w:rPr>
            <w:color w:val="1155CC"/>
            <w:sz w:val="21"/>
            <w:szCs w:val="21"/>
            <w:u w:val="single"/>
          </w:rPr>
          <w:t xml:space="preserve">datastudio.google.com/reporting/246a35df-b736-4d79-bcb5-a06175364e6b</w:t>
        </w:r>
      </w:hyperlink>
    </w:p>
    <w:p>
      <w:pPr>
        <w:spacing w:after="160"/>
      </w:pPr>
      <w:r>
        <w:rPr>
          <w:i w:val="false"/>
          <w:iCs w:val="false"/>
          <w:color w:val="1C211D"/>
          <w:sz w:val="22"/>
          <w:szCs w:val="22"/>
        </w:rPr>
        <w:t xml:space="preserve">Built in Looker Studio, connected directly to the live Raw_Data sheet — updates automatically as the sync continues.</w:t>
      </w:r>
    </w:p>
    <w:p>
      <w:pPr>
        <w:spacing w:after="160"/>
      </w:pPr>
      <w:r>
        <w:rPr>
          <w:i w:val="false"/>
          <w:iCs w:val="false"/>
          <w:color w:val="1C211D"/>
          <w:sz w:val="22"/>
          <w:szCs w:val="22"/>
        </w:rPr>
        <w:t xml:space="preserve">What it shows: current price, 3-year average, total arrivals, and year-over-year change for any crop/mandi combination, switchable between ₹/kg, ₹/Quintal, and ₹/Ton; a multi-year seasonality overlay confirming whether each crop’s price cycle repeats year to year; arrivals volume alongside price to check supply against price movement; and a grade breakdown showing the real reported grade labels rather than a forced simplification.</w:t>
      </w:r>
    </w:p>
    <w:p>
      <w:pPr>
        <w:pStyle w:val="Heading2"/>
        <w:pBdr>
          <w:bottom w:val="single" w:color="D9D6CC" w:sz="4" w:space="6"/>
        </w:pBdr>
        <w:spacing w:after="140" w:before="380"/>
      </w:pPr>
      <w:r>
        <w:rPr>
          <w:rFonts w:ascii="Courier New" w:cs="Courier New" w:eastAsia="Courier New" w:hAnsi="Courier New"/>
          <w:b/>
          <w:bCs/>
          <w:color w:val="2F6B4F"/>
          <w:sz w:val="24"/>
          <w:szCs w:val="24"/>
        </w:rPr>
        <w:t xml:space="preserve">08  </w:t>
      </w:r>
      <w:r>
        <w:rPr>
          <w:b/>
          <w:bCs/>
          <w:color w:val="1C211D"/>
          <w:sz w:val="28"/>
          <w:szCs w:val="28"/>
        </w:rPr>
        <w:t xml:space="preserve">Dashboard style guide (premium finish)</w:t>
      </w:r>
    </w:p>
    <w:p>
      <w:pPr>
        <w:spacing w:after="200"/>
      </w:pPr>
      <w:r>
        <w:rPr>
          <w:i/>
          <w:iCs/>
          <w:color w:val="565F58"/>
          <w:sz w:val="21"/>
          <w:szCs w:val="21"/>
        </w:rPr>
        <w:t xml:space="preserve">The default Looker Studio palette reads as a template. These values are colorblind-validated (not eyeballed) and applied once at the theme level, not per-chart.</w:t>
      </w:r>
    </w:p>
    <w:p>
      <w:pPr>
        <w:spacing w:after="60" w:before="80"/>
      </w:pPr>
      <w:r>
        <w:rPr>
          <w:b/>
          <w:bCs/>
          <w:color w:val="1C211D"/>
          <w:sz w:val="22"/>
          <w:szCs w:val="22"/>
        </w:rPr>
        <w:t xml:space="preserve">Backgrounds &amp; text</w:t>
      </w:r>
    </w:p>
    <w:p>
      <w:pPr>
        <w:pStyle w:val="ListParagraph"/>
        <w:numPr>
          <w:ilvl w:val="0"/>
          <w:numId w:val="2"/>
        </w:numPr>
        <w:spacing w:after="80"/>
      </w:pPr>
      <w:r>
        <w:rPr>
          <w:color w:val="1C211D"/>
          <w:sz w:val="22"/>
          <w:szCs w:val="22"/>
        </w:rPr>
        <w:t xml:space="preserve">Page background: #0d0d0d</w:t>
      </w:r>
    </w:p>
    <w:p>
      <w:pPr>
        <w:pStyle w:val="ListParagraph"/>
        <w:numPr>
          <w:ilvl w:val="0"/>
          <w:numId w:val="2"/>
        </w:numPr>
        <w:spacing w:after="80"/>
      </w:pPr>
      <w:r>
        <w:rPr>
          <w:color w:val="1C211D"/>
          <w:sz w:val="22"/>
          <w:szCs w:val="22"/>
        </w:rPr>
        <w:t xml:space="preserve">Chart/card surface: #1a1a19</w:t>
      </w:r>
    </w:p>
    <w:p>
      <w:pPr>
        <w:pStyle w:val="ListParagraph"/>
        <w:numPr>
          <w:ilvl w:val="0"/>
          <w:numId w:val="2"/>
        </w:numPr>
        <w:spacing w:after="80"/>
      </w:pPr>
      <w:r>
        <w:rPr>
          <w:color w:val="1C211D"/>
          <w:sz w:val="22"/>
          <w:szCs w:val="22"/>
        </w:rPr>
        <w:t xml:space="preserve">Primary text: #ffffff</w:t>
      </w:r>
    </w:p>
    <w:p>
      <w:pPr>
        <w:pStyle w:val="ListParagraph"/>
        <w:numPr>
          <w:ilvl w:val="0"/>
          <w:numId w:val="2"/>
        </w:numPr>
        <w:spacing w:after="80"/>
      </w:pPr>
      <w:r>
        <w:rPr>
          <w:color w:val="1C211D"/>
          <w:sz w:val="22"/>
          <w:szCs w:val="22"/>
        </w:rPr>
        <w:t xml:space="preserve">Secondary text: #c3c2b7</w:t>
      </w:r>
    </w:p>
    <w:p>
      <w:pPr>
        <w:pStyle w:val="ListParagraph"/>
        <w:numPr>
          <w:ilvl w:val="0"/>
          <w:numId w:val="2"/>
        </w:numPr>
        <w:spacing w:after="80"/>
      </w:pPr>
      <w:r>
        <w:rPr>
          <w:color w:val="1C211D"/>
          <w:sz w:val="22"/>
          <w:szCs w:val="22"/>
        </w:rPr>
        <w:t xml:space="preserve">Muted / axis text: #898781</w:t>
      </w:r>
    </w:p>
    <w:p>
      <w:pPr>
        <w:pStyle w:val="ListParagraph"/>
        <w:numPr>
          <w:ilvl w:val="0"/>
          <w:numId w:val="2"/>
        </w:numPr>
        <w:spacing w:after="80"/>
      </w:pPr>
      <w:r>
        <w:rPr>
          <w:color w:val="1C211D"/>
          <w:sz w:val="22"/>
          <w:szCs w:val="22"/>
        </w:rPr>
        <w:t xml:space="preserve">Gridlines: #2c2c2a</w:t>
      </w:r>
    </w:p>
    <w:p>
      <w:pPr>
        <w:spacing w:after="60" w:before="160"/>
      </w:pPr>
      <w:r>
        <w:rPr>
          <w:b/>
          <w:bCs/>
          <w:color w:val="1C211D"/>
          <w:sz w:val="22"/>
          <w:szCs w:val="22"/>
        </w:rPr>
        <w:t xml:space="preserve">Year series (seasonality overlay) — fixed order, not cycled</w:t>
      </w:r>
    </w:p>
    <w:p>
      <w:pPr>
        <w:pStyle w:val="ListParagraph"/>
        <w:numPr>
          <w:ilvl w:val="0"/>
          <w:numId w:val="2"/>
        </w:numPr>
        <w:spacing w:after="80"/>
      </w:pPr>
      <w:r>
        <w:rPr>
          <w:color w:val="1C211D"/>
          <w:sz w:val="22"/>
          <w:szCs w:val="22"/>
        </w:rPr>
        <w:t xml:space="preserve">2023: #3987e5 (blue)</w:t>
      </w:r>
    </w:p>
    <w:p>
      <w:pPr>
        <w:pStyle w:val="ListParagraph"/>
        <w:numPr>
          <w:ilvl w:val="0"/>
          <w:numId w:val="2"/>
        </w:numPr>
        <w:spacing w:after="80"/>
      </w:pPr>
      <w:r>
        <w:rPr>
          <w:color w:val="1C211D"/>
          <w:sz w:val="22"/>
          <w:szCs w:val="22"/>
        </w:rPr>
        <w:t xml:space="preserve">2024: #d95926 (orange)</w:t>
      </w:r>
    </w:p>
    <w:p>
      <w:pPr>
        <w:pStyle w:val="ListParagraph"/>
        <w:numPr>
          <w:ilvl w:val="0"/>
          <w:numId w:val="2"/>
        </w:numPr>
        <w:spacing w:after="80"/>
      </w:pPr>
      <w:r>
        <w:rPr>
          <w:color w:val="1C211D"/>
          <w:sz w:val="22"/>
          <w:szCs w:val="22"/>
        </w:rPr>
        <w:t xml:space="preserve">2025: #199e70 (aqua/teal)</w:t>
      </w:r>
    </w:p>
    <w:p>
      <w:pPr>
        <w:pStyle w:val="ListParagraph"/>
        <w:numPr>
          <w:ilvl w:val="0"/>
          <w:numId w:val="2"/>
        </w:numPr>
        <w:spacing w:after="80"/>
      </w:pPr>
      <w:r>
        <w:rPr>
          <w:color w:val="1C211D"/>
          <w:sz w:val="22"/>
          <w:szCs w:val="22"/>
        </w:rPr>
        <w:t xml:space="preserve">2026: #c98500 (amber)</w:t>
      </w:r>
    </w:p>
    <w:p>
      <w:pPr>
        <w:spacing w:after="160"/>
      </w:pPr>
      <w:r>
        <w:rPr>
          <w:i w:val="false"/>
          <w:iCs w:val="false"/>
          <w:color w:val="1C211D"/>
          <w:sz w:val="22"/>
          <w:szCs w:val="22"/>
        </w:rPr>
        <w:t xml:space="preserve">Single accent for every other chart/scorecard (arrivals, grade, current price): #3987e5 — one accent used consistently reads as designed; a different color per chart reads as default template.</w:t>
      </w:r>
    </w:p>
    <w:p>
      <w:pPr>
        <w:spacing w:after="60" w:before="160"/>
      </w:pPr>
      <w:r>
        <w:rPr>
          <w:b/>
          <w:bCs/>
          <w:color w:val="1C211D"/>
          <w:sz w:val="22"/>
          <w:szCs w:val="22"/>
        </w:rPr>
        <w:t xml:space="preserve">Beyond color</w:t>
      </w:r>
    </w:p>
    <w:p>
      <w:pPr>
        <w:pStyle w:val="ListParagraph"/>
        <w:numPr>
          <w:ilvl w:val="0"/>
          <w:numId w:val="2"/>
        </w:numPr>
        <w:spacing w:after="80"/>
      </w:pPr>
      <w:r>
        <w:rPr>
          <w:color w:val="1C211D"/>
          <w:sz w:val="22"/>
          <w:szCs w:val="22"/>
        </w:rPr>
        <w:t xml:space="preserve">Tabular/monospaced number alignment on scorecards, consistent decimal places (2 for price, 0 for arrivals) — mismatched decimals is the most common "unpolished" tell.</w:t>
      </w:r>
    </w:p>
    <w:p>
      <w:pPr>
        <w:pStyle w:val="ListParagraph"/>
        <w:numPr>
          <w:ilvl w:val="0"/>
          <w:numId w:val="2"/>
        </w:numPr>
        <w:spacing w:after="80"/>
      </w:pPr>
      <w:r>
        <w:rPr>
          <w:color w:val="1C211D"/>
          <w:sz w:val="22"/>
          <w:szCs w:val="22"/>
        </w:rPr>
        <w:t xml:space="preserve">One typeface for the whole report — system sans throughout, no display font on titles.</w:t>
      </w:r>
    </w:p>
    <w:p>
      <w:pPr>
        <w:pStyle w:val="ListParagraph"/>
        <w:numPr>
          <w:ilvl w:val="0"/>
          <w:numId w:val="2"/>
        </w:numPr>
        <w:spacing w:after="80"/>
      </w:pPr>
      <w:r>
        <w:rPr>
          <w:color w:val="1C211D"/>
          <w:sz w:val="22"/>
          <w:szCs w:val="22"/>
        </w:rPr>
        <w:t xml:space="preserve">Chart borders off everywhere — separate cards with whitespace, not visible borders or shadows.</w:t>
      </w:r>
    </w:p>
    <w:p>
      <w:pPr>
        <w:pStyle w:val="ListParagraph"/>
        <w:numPr>
          <w:ilvl w:val="0"/>
          <w:numId w:val="2"/>
        </w:numPr>
        <w:spacing w:after="80"/>
      </w:pPr>
      <w:r>
        <w:rPr>
          <w:color w:val="1C211D"/>
          <w:sz w:val="22"/>
          <w:szCs w:val="22"/>
        </w:rPr>
        <w:t xml:space="preserve">Direct labels instead of legend boxes wherever there are only 1-2 series.</w:t>
      </w:r>
    </w:p>
    <w:p>
      <w:pPr>
        <w:pBdr>
          <w:top w:val="single" w:color="1C211D" w:sz="6" w:space="8"/>
        </w:pBdr>
        <w:spacing w:before="300"/>
      </w:pPr>
      <w:r>
        <w:rPr>
          <w:rFonts w:ascii="Courier New" w:cs="Courier New" w:eastAsia="Courier New" w:hAnsi="Courier New"/>
          <w:color w:val="565F58"/>
          <w:sz w:val="17"/>
          <w:szCs w:val="17"/>
        </w:rPr>
        <w:t xml:space="preserve">* Green Chilli substitutes for Naga Chilli; Tomato substitutes for Cherry Tomato — both clearly labeled in the sheet, not silently merged. Prepared for review — every figure above was pulled live from the actual APIs and sites, not assumed from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5w5xt-_07v8oxi54oi8d" Type="http://schemas.openxmlformats.org/officeDocument/2006/relationships/hyperlink" Target="https://datastudio.google.com/reporting/246a35df-b736-4d79-bcb5-a06175364e6b"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2026-09-25T13:44:31.996Z</dcterms:created>
  <dcterms:modified xsi:type="dcterms:W3CDTF">2026-09-25T13:44:32.003Z</dcterms:modified>
</cp:coreProperties>
</file>

<file path=docProps/custom.xml><?xml version="1.0" encoding="utf-8"?>
<Properties xmlns="http://schemas.openxmlformats.org/officeDocument/2006/custom-properties" xmlns:vt="http://schemas.openxmlformats.org/officeDocument/2006/docPropsVTypes"/>
</file>