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11100" w14:textId="77777777" w:rsidR="00332D3C" w:rsidRDefault="00332D3C"/>
    <w:p w14:paraId="7E511101" w14:textId="77777777" w:rsidR="00332D3C" w:rsidRDefault="00332D3C"/>
    <w:p w14:paraId="7E511102" w14:textId="77777777" w:rsidR="00332D3C" w:rsidRDefault="00332D3C"/>
    <w:p w14:paraId="7E511103" w14:textId="77777777" w:rsidR="00332D3C" w:rsidRDefault="00332D3C"/>
    <w:p w14:paraId="7E511104" w14:textId="4E1C0849" w:rsidR="00332D3C" w:rsidRDefault="00490B04">
      <w:pPr>
        <w:spacing w:after="80"/>
        <w:jc w:val="center"/>
      </w:pPr>
      <w:r>
        <w:rPr>
          <w:b/>
          <w:bCs/>
          <w:color w:val="555555"/>
          <w:sz w:val="28"/>
          <w:szCs w:val="28"/>
        </w:rPr>
        <w:t xml:space="preserve">INDIAN INSTITUTE OF </w:t>
      </w:r>
      <w:r w:rsidR="00E931F1">
        <w:rPr>
          <w:b/>
          <w:bCs/>
          <w:color w:val="555555"/>
          <w:sz w:val="28"/>
          <w:szCs w:val="28"/>
        </w:rPr>
        <w:t>TECHNOLOGY MANDI</w:t>
      </w:r>
    </w:p>
    <w:p w14:paraId="7E511106" w14:textId="77777777" w:rsidR="00332D3C" w:rsidRDefault="00332D3C">
      <w:pPr>
        <w:pBdr>
          <w:bottom w:val="single" w:sz="6" w:space="1" w:color="2E75B6"/>
        </w:pBdr>
        <w:spacing w:after="160"/>
      </w:pPr>
    </w:p>
    <w:p w14:paraId="7E511107" w14:textId="77777777" w:rsidR="00332D3C" w:rsidRDefault="00332D3C"/>
    <w:p w14:paraId="7E511108" w14:textId="77777777" w:rsidR="00332D3C" w:rsidRDefault="00490B04">
      <w:pPr>
        <w:spacing w:after="160"/>
        <w:jc w:val="center"/>
      </w:pPr>
      <w:r>
        <w:rPr>
          <w:b/>
          <w:bCs/>
          <w:caps/>
          <w:color w:val="2E75B6"/>
          <w:sz w:val="28"/>
          <w:szCs w:val="28"/>
        </w:rPr>
        <w:t>PROJECT REPORT</w:t>
      </w:r>
    </w:p>
    <w:p w14:paraId="7E511109" w14:textId="77777777" w:rsidR="00332D3C" w:rsidRDefault="00490B04">
      <w:pPr>
        <w:spacing w:after="240"/>
        <w:jc w:val="center"/>
      </w:pPr>
      <w:r>
        <w:rPr>
          <w:b/>
          <w:bCs/>
          <w:color w:val="1B3A6B"/>
          <w:sz w:val="44"/>
          <w:szCs w:val="44"/>
        </w:rPr>
        <w:t>Physics-Informed Neural Networks for</w:t>
      </w:r>
    </w:p>
    <w:p w14:paraId="7E51110A" w14:textId="77777777" w:rsidR="00332D3C" w:rsidRDefault="00490B04">
      <w:pPr>
        <w:spacing w:after="160"/>
        <w:jc w:val="center"/>
      </w:pPr>
      <w:r>
        <w:rPr>
          <w:b/>
          <w:bCs/>
          <w:color w:val="1B3A6B"/>
          <w:sz w:val="38"/>
          <w:szCs w:val="38"/>
        </w:rPr>
        <w:t>Option Pricing via Stochastic Differential Equations</w:t>
      </w:r>
    </w:p>
    <w:p w14:paraId="7E51110B" w14:textId="77777777" w:rsidR="00332D3C" w:rsidRDefault="00332D3C"/>
    <w:p w14:paraId="7E51110C" w14:textId="77777777" w:rsidR="00332D3C" w:rsidRDefault="00332D3C">
      <w:pPr>
        <w:pBdr>
          <w:bottom w:val="single" w:sz="6" w:space="1" w:color="2E75B6"/>
        </w:pBdr>
        <w:spacing w:after="160"/>
      </w:pPr>
    </w:p>
    <w:p w14:paraId="7E51110D" w14:textId="77777777" w:rsidR="00332D3C" w:rsidRDefault="00332D3C"/>
    <w:p w14:paraId="7E51110E" w14:textId="77777777" w:rsidR="00332D3C" w:rsidRDefault="00332D3C"/>
    <w:tbl>
      <w:tblPr>
        <w:tblW w:w="6611" w:type="dxa"/>
        <w:tblInd w:w="1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440" w:type="dxa"/>
        </w:tblCellMar>
        <w:tblLook w:val="0000" w:firstRow="0" w:lastRow="0" w:firstColumn="0" w:lastColumn="0" w:noHBand="0" w:noVBand="0"/>
      </w:tblPr>
      <w:tblGrid>
        <w:gridCol w:w="6611"/>
      </w:tblGrid>
      <w:tr w:rsidR="00332D3C" w14:paraId="7E511116" w14:textId="77777777" w:rsidTr="00E931F1">
        <w:tblPrEx>
          <w:tblCellMar>
            <w:bottom w:w="0" w:type="dxa"/>
          </w:tblCellMar>
        </w:tblPrEx>
        <w:trPr>
          <w:trHeight w:val="2587"/>
        </w:trPr>
        <w:tc>
          <w:tcPr>
            <w:tcW w:w="6611" w:type="dxa"/>
            <w:tcBorders>
              <w:top w:val="single" w:sz="4" w:space="0" w:color="2E75B6"/>
              <w:left w:val="single" w:sz="4" w:space="0" w:color="2E75B6"/>
              <w:bottom w:val="single" w:sz="4" w:space="0" w:color="2E75B6"/>
              <w:right w:val="single" w:sz="4" w:space="0" w:color="2E75B6"/>
            </w:tcBorders>
            <w:shd w:val="clear" w:color="auto" w:fill="EBF3FB"/>
            <w:tcMar>
              <w:top w:w="240" w:type="dxa"/>
              <w:left w:w="360" w:type="dxa"/>
              <w:bottom w:w="240" w:type="dxa"/>
              <w:right w:w="360" w:type="dxa"/>
            </w:tcMar>
          </w:tcPr>
          <w:p w14:paraId="7E51110F" w14:textId="77777777" w:rsidR="00332D3C" w:rsidRDefault="00490B04" w:rsidP="00E931F1">
            <w:pPr>
              <w:spacing w:after="160"/>
              <w:jc w:val="center"/>
            </w:pPr>
            <w:r>
              <w:rPr>
                <w:i/>
                <w:iCs/>
                <w:color w:val="555555"/>
              </w:rPr>
              <w:t>Presented by</w:t>
            </w:r>
          </w:p>
          <w:p w14:paraId="7E511110" w14:textId="77777777" w:rsidR="00332D3C" w:rsidRDefault="00490B04" w:rsidP="00E931F1">
            <w:pPr>
              <w:spacing w:after="60"/>
              <w:jc w:val="center"/>
            </w:pPr>
            <w:r>
              <w:rPr>
                <w:b/>
                <w:bCs/>
                <w:color w:val="1B3A6B"/>
                <w:sz w:val="26"/>
                <w:szCs w:val="26"/>
              </w:rPr>
              <w:t>Anshika Ranot</w:t>
            </w:r>
          </w:p>
          <w:p w14:paraId="7E511111" w14:textId="77777777" w:rsidR="00332D3C" w:rsidRDefault="00490B04" w:rsidP="00E931F1">
            <w:pPr>
              <w:spacing w:after="100"/>
              <w:jc w:val="center"/>
            </w:pPr>
            <w:r>
              <w:rPr>
                <w:color w:val="555555"/>
              </w:rPr>
              <w:t>IM24040</w:t>
            </w:r>
          </w:p>
          <w:p w14:paraId="7E511112" w14:textId="77777777" w:rsidR="00332D3C" w:rsidRDefault="00490B04" w:rsidP="00E931F1">
            <w:pPr>
              <w:spacing w:after="60"/>
              <w:jc w:val="center"/>
            </w:pPr>
            <w:r>
              <w:rPr>
                <w:b/>
                <w:bCs/>
                <w:color w:val="1B3A6B"/>
                <w:sz w:val="26"/>
                <w:szCs w:val="26"/>
              </w:rPr>
              <w:t>Kowshika</w:t>
            </w:r>
          </w:p>
          <w:p w14:paraId="7E511113" w14:textId="77777777" w:rsidR="00332D3C" w:rsidRDefault="00490B04" w:rsidP="00E931F1">
            <w:pPr>
              <w:spacing w:after="100"/>
              <w:jc w:val="center"/>
            </w:pPr>
            <w:r>
              <w:rPr>
                <w:color w:val="555555"/>
              </w:rPr>
              <w:t>IM240XX</w:t>
            </w:r>
          </w:p>
          <w:p w14:paraId="7E511114" w14:textId="77777777" w:rsidR="00332D3C" w:rsidRDefault="00490B04" w:rsidP="00E931F1">
            <w:pPr>
              <w:spacing w:after="60"/>
              <w:jc w:val="center"/>
            </w:pPr>
            <w:r>
              <w:rPr>
                <w:b/>
                <w:bCs/>
                <w:color w:val="1B3A6B"/>
                <w:sz w:val="26"/>
                <w:szCs w:val="26"/>
              </w:rPr>
              <w:t>Tanishq Srivastav</w:t>
            </w:r>
          </w:p>
          <w:p w14:paraId="7E511115" w14:textId="77777777" w:rsidR="00332D3C" w:rsidRDefault="00490B04" w:rsidP="00E931F1">
            <w:pPr>
              <w:jc w:val="center"/>
            </w:pPr>
            <w:r>
              <w:rPr>
                <w:color w:val="555555"/>
              </w:rPr>
              <w:t>IM240XX</w:t>
            </w:r>
          </w:p>
        </w:tc>
      </w:tr>
    </w:tbl>
    <w:p w14:paraId="7E511117" w14:textId="77777777" w:rsidR="00332D3C" w:rsidRDefault="00332D3C"/>
    <w:p w14:paraId="7E511118" w14:textId="77777777" w:rsidR="00332D3C" w:rsidRDefault="00332D3C"/>
    <w:p w14:paraId="7E511119" w14:textId="77777777" w:rsidR="00332D3C" w:rsidRDefault="00332D3C"/>
    <w:p w14:paraId="7E51111B" w14:textId="534583D2" w:rsidR="00332D3C" w:rsidRPr="00E931F1" w:rsidRDefault="00490B04">
      <w:pPr>
        <w:jc w:val="center"/>
        <w:rPr>
          <w:sz w:val="28"/>
          <w:szCs w:val="28"/>
        </w:rPr>
      </w:pPr>
      <w:r w:rsidRPr="00E931F1">
        <w:rPr>
          <w:i/>
          <w:iCs/>
          <w:color w:val="555555"/>
          <w:sz w:val="28"/>
          <w:szCs w:val="28"/>
        </w:rPr>
        <w:t>Reference Paper</w:t>
      </w:r>
      <w:r w:rsidR="00E931F1">
        <w:rPr>
          <w:i/>
          <w:iCs/>
          <w:color w:val="555555"/>
          <w:sz w:val="28"/>
          <w:szCs w:val="28"/>
        </w:rPr>
        <w:t xml:space="preserve"> </w:t>
      </w:r>
      <w:r w:rsidRPr="00E931F1">
        <w:rPr>
          <w:i/>
          <w:iCs/>
          <w:color w:val="555555"/>
          <w:sz w:val="24"/>
          <w:szCs w:val="24"/>
        </w:rPr>
        <w:t>: De Ryck &amp; Mishra (2022) — Advances in Computational Mathematics</w:t>
      </w:r>
    </w:p>
    <w:p w14:paraId="7E51111C" w14:textId="77777777" w:rsidR="00332D3C" w:rsidRDefault="00332D3C">
      <w:pPr>
        <w:sectPr w:rsidR="00332D3C">
          <w:pgSz w:w="12240" w:h="15840"/>
          <w:pgMar w:top="1440" w:right="1440" w:bottom="1440" w:left="1440" w:header="708" w:footer="708" w:gutter="0"/>
          <w:cols w:space="720"/>
          <w:docGrid w:linePitch="360"/>
        </w:sectPr>
      </w:pPr>
    </w:p>
    <w:p w14:paraId="7E51111D" w14:textId="77777777" w:rsidR="00332D3C" w:rsidRDefault="00490B04">
      <w:pPr>
        <w:pStyle w:val="Heading1"/>
      </w:pPr>
      <w:bookmarkStart w:id="0" w:name="_Toc229110941"/>
      <w:r>
        <w:lastRenderedPageBreak/>
        <w:t>Table of Contents</w:t>
      </w:r>
      <w:bookmarkEnd w:id="0"/>
    </w:p>
    <w:p w14:paraId="7E51111E" w14:textId="77777777" w:rsidR="00332D3C" w:rsidRDefault="00332D3C">
      <w:pPr>
        <w:pBdr>
          <w:bottom w:val="single" w:sz="6" w:space="1" w:color="2E75B6"/>
        </w:pBdr>
        <w:spacing w:after="160"/>
      </w:pPr>
    </w:p>
    <w:p w14:paraId="7E51111F" w14:textId="77777777" w:rsidR="00332D3C" w:rsidRDefault="00332D3C"/>
    <w:sdt>
      <w:sdtPr>
        <w:alias w:val="Table of Contents"/>
        <w:id w:val="1749072041"/>
      </w:sdtPr>
      <w:sdtEndPr/>
      <w:sdtContent>
        <w:p w14:paraId="27626036" w14:textId="39146035" w:rsidR="00E931F1" w:rsidRDefault="00490B04">
          <w:pPr>
            <w:pStyle w:val="TOC1"/>
            <w:tabs>
              <w:tab w:val="right" w:leader="dot" w:pos="9350"/>
            </w:tabs>
            <w:rPr>
              <w:noProof/>
            </w:rPr>
          </w:pPr>
          <w:r>
            <w:fldChar w:fldCharType="begin"/>
          </w:r>
          <w:r>
            <w:instrText>TOC \h \o "1-3"</w:instrText>
          </w:r>
          <w:r>
            <w:fldChar w:fldCharType="separate"/>
          </w:r>
          <w:hyperlink w:anchor="_Toc229110941" w:history="1">
            <w:r w:rsidR="00E931F1" w:rsidRPr="00D02D5A">
              <w:rPr>
                <w:rStyle w:val="Hyperlink"/>
                <w:noProof/>
              </w:rPr>
              <w:t>Table of Contents</w:t>
            </w:r>
            <w:r w:rsidR="00E931F1">
              <w:rPr>
                <w:noProof/>
              </w:rPr>
              <w:tab/>
            </w:r>
            <w:r w:rsidR="00E931F1">
              <w:rPr>
                <w:noProof/>
              </w:rPr>
              <w:fldChar w:fldCharType="begin"/>
            </w:r>
            <w:r w:rsidR="00E931F1">
              <w:rPr>
                <w:noProof/>
              </w:rPr>
              <w:instrText xml:space="preserve"> PAGEREF _Toc229110941 \h </w:instrText>
            </w:r>
            <w:r w:rsidR="00E931F1">
              <w:rPr>
                <w:noProof/>
              </w:rPr>
            </w:r>
            <w:r w:rsidR="00E931F1">
              <w:rPr>
                <w:noProof/>
              </w:rPr>
              <w:fldChar w:fldCharType="separate"/>
            </w:r>
            <w:r w:rsidR="00E931F1">
              <w:rPr>
                <w:noProof/>
              </w:rPr>
              <w:t>2</w:t>
            </w:r>
            <w:r w:rsidR="00E931F1">
              <w:rPr>
                <w:noProof/>
              </w:rPr>
              <w:fldChar w:fldCharType="end"/>
            </w:r>
          </w:hyperlink>
        </w:p>
        <w:p w14:paraId="0411BA9B" w14:textId="02BF537B" w:rsidR="00E931F1" w:rsidRDefault="00E931F1">
          <w:pPr>
            <w:pStyle w:val="TOC1"/>
            <w:tabs>
              <w:tab w:val="right" w:leader="dot" w:pos="9350"/>
            </w:tabs>
            <w:rPr>
              <w:noProof/>
            </w:rPr>
          </w:pPr>
          <w:hyperlink w:anchor="_Toc229110942" w:history="1">
            <w:r w:rsidRPr="00D02D5A">
              <w:rPr>
                <w:rStyle w:val="Hyperlink"/>
                <w:noProof/>
              </w:rPr>
              <w:t>1. Abstract</w:t>
            </w:r>
            <w:r>
              <w:rPr>
                <w:noProof/>
              </w:rPr>
              <w:tab/>
            </w:r>
            <w:r>
              <w:rPr>
                <w:noProof/>
              </w:rPr>
              <w:fldChar w:fldCharType="begin"/>
            </w:r>
            <w:r>
              <w:rPr>
                <w:noProof/>
              </w:rPr>
              <w:instrText xml:space="preserve"> PAGEREF _Toc229110942 \h </w:instrText>
            </w:r>
            <w:r>
              <w:rPr>
                <w:noProof/>
              </w:rPr>
            </w:r>
            <w:r>
              <w:rPr>
                <w:noProof/>
              </w:rPr>
              <w:fldChar w:fldCharType="separate"/>
            </w:r>
            <w:r>
              <w:rPr>
                <w:noProof/>
              </w:rPr>
              <w:t>4</w:t>
            </w:r>
            <w:r>
              <w:rPr>
                <w:noProof/>
              </w:rPr>
              <w:fldChar w:fldCharType="end"/>
            </w:r>
          </w:hyperlink>
        </w:p>
        <w:p w14:paraId="37308E9F" w14:textId="6C09E341" w:rsidR="00E931F1" w:rsidRDefault="00E931F1">
          <w:pPr>
            <w:pStyle w:val="TOC1"/>
            <w:tabs>
              <w:tab w:val="right" w:leader="dot" w:pos="9350"/>
            </w:tabs>
            <w:rPr>
              <w:noProof/>
            </w:rPr>
          </w:pPr>
          <w:hyperlink w:anchor="_Toc229110943" w:history="1">
            <w:r w:rsidRPr="00D02D5A">
              <w:rPr>
                <w:rStyle w:val="Hyperlink"/>
                <w:noProof/>
              </w:rPr>
              <w:t>2. Introduction</w:t>
            </w:r>
            <w:r>
              <w:rPr>
                <w:noProof/>
              </w:rPr>
              <w:tab/>
            </w:r>
            <w:r>
              <w:rPr>
                <w:noProof/>
              </w:rPr>
              <w:fldChar w:fldCharType="begin"/>
            </w:r>
            <w:r>
              <w:rPr>
                <w:noProof/>
              </w:rPr>
              <w:instrText xml:space="preserve"> PAGEREF _Toc229110943 \h </w:instrText>
            </w:r>
            <w:r>
              <w:rPr>
                <w:noProof/>
              </w:rPr>
            </w:r>
            <w:r>
              <w:rPr>
                <w:noProof/>
              </w:rPr>
              <w:fldChar w:fldCharType="separate"/>
            </w:r>
            <w:r>
              <w:rPr>
                <w:noProof/>
              </w:rPr>
              <w:t>4</w:t>
            </w:r>
            <w:r>
              <w:rPr>
                <w:noProof/>
              </w:rPr>
              <w:fldChar w:fldCharType="end"/>
            </w:r>
          </w:hyperlink>
        </w:p>
        <w:p w14:paraId="5CDC3A15" w14:textId="4C58D66C" w:rsidR="00E931F1" w:rsidRDefault="00E931F1">
          <w:pPr>
            <w:pStyle w:val="TOC2"/>
            <w:tabs>
              <w:tab w:val="right" w:leader="dot" w:pos="9350"/>
            </w:tabs>
            <w:rPr>
              <w:noProof/>
            </w:rPr>
          </w:pPr>
          <w:hyperlink w:anchor="_Toc229110944" w:history="1">
            <w:r w:rsidRPr="00D02D5A">
              <w:rPr>
                <w:rStyle w:val="Hyperlink"/>
                <w:noProof/>
              </w:rPr>
              <w:t>2.1  Background and Motivation</w:t>
            </w:r>
            <w:r>
              <w:rPr>
                <w:noProof/>
              </w:rPr>
              <w:tab/>
            </w:r>
            <w:r>
              <w:rPr>
                <w:noProof/>
              </w:rPr>
              <w:fldChar w:fldCharType="begin"/>
            </w:r>
            <w:r>
              <w:rPr>
                <w:noProof/>
              </w:rPr>
              <w:instrText xml:space="preserve"> PAGEREF _Toc229110944 \h </w:instrText>
            </w:r>
            <w:r>
              <w:rPr>
                <w:noProof/>
              </w:rPr>
            </w:r>
            <w:r>
              <w:rPr>
                <w:noProof/>
              </w:rPr>
              <w:fldChar w:fldCharType="separate"/>
            </w:r>
            <w:r>
              <w:rPr>
                <w:noProof/>
              </w:rPr>
              <w:t>4</w:t>
            </w:r>
            <w:r>
              <w:rPr>
                <w:noProof/>
              </w:rPr>
              <w:fldChar w:fldCharType="end"/>
            </w:r>
          </w:hyperlink>
        </w:p>
        <w:p w14:paraId="07AD2D0C" w14:textId="772E445F" w:rsidR="00E931F1" w:rsidRDefault="00E931F1">
          <w:pPr>
            <w:pStyle w:val="TOC2"/>
            <w:tabs>
              <w:tab w:val="right" w:leader="dot" w:pos="9350"/>
            </w:tabs>
            <w:rPr>
              <w:noProof/>
            </w:rPr>
          </w:pPr>
          <w:hyperlink w:anchor="_Toc229110945" w:history="1">
            <w:r w:rsidRPr="00D02D5A">
              <w:rPr>
                <w:rStyle w:val="Hyperlink"/>
                <w:noProof/>
              </w:rPr>
              <w:t>2.2  Kolmogorov PDEs and the Black-Scholes Equation</w:t>
            </w:r>
            <w:r>
              <w:rPr>
                <w:noProof/>
              </w:rPr>
              <w:tab/>
            </w:r>
            <w:r>
              <w:rPr>
                <w:noProof/>
              </w:rPr>
              <w:fldChar w:fldCharType="begin"/>
            </w:r>
            <w:r>
              <w:rPr>
                <w:noProof/>
              </w:rPr>
              <w:instrText xml:space="preserve"> PAGEREF _Toc229110945 \h </w:instrText>
            </w:r>
            <w:r>
              <w:rPr>
                <w:noProof/>
              </w:rPr>
            </w:r>
            <w:r>
              <w:rPr>
                <w:noProof/>
              </w:rPr>
              <w:fldChar w:fldCharType="separate"/>
            </w:r>
            <w:r>
              <w:rPr>
                <w:noProof/>
              </w:rPr>
              <w:t>5</w:t>
            </w:r>
            <w:r>
              <w:rPr>
                <w:noProof/>
              </w:rPr>
              <w:fldChar w:fldCharType="end"/>
            </w:r>
          </w:hyperlink>
        </w:p>
        <w:p w14:paraId="19A5CAAD" w14:textId="74C4A216" w:rsidR="00E931F1" w:rsidRDefault="00E931F1">
          <w:pPr>
            <w:pStyle w:val="TOC1"/>
            <w:tabs>
              <w:tab w:val="right" w:leader="dot" w:pos="9350"/>
            </w:tabs>
            <w:rPr>
              <w:noProof/>
            </w:rPr>
          </w:pPr>
          <w:hyperlink w:anchor="_Toc229110946" w:history="1">
            <w:r w:rsidRPr="00D02D5A">
              <w:rPr>
                <w:rStyle w:val="Hyperlink"/>
                <w:noProof/>
              </w:rPr>
              <w:t>3. Theoretical Framework from De Ryck &amp; Mishra (2022)</w:t>
            </w:r>
            <w:r>
              <w:rPr>
                <w:noProof/>
              </w:rPr>
              <w:tab/>
            </w:r>
            <w:r>
              <w:rPr>
                <w:noProof/>
              </w:rPr>
              <w:fldChar w:fldCharType="begin"/>
            </w:r>
            <w:r>
              <w:rPr>
                <w:noProof/>
              </w:rPr>
              <w:instrText xml:space="preserve"> PAGEREF _Toc229110946 \h </w:instrText>
            </w:r>
            <w:r>
              <w:rPr>
                <w:noProof/>
              </w:rPr>
            </w:r>
            <w:r>
              <w:rPr>
                <w:noProof/>
              </w:rPr>
              <w:fldChar w:fldCharType="separate"/>
            </w:r>
            <w:r>
              <w:rPr>
                <w:noProof/>
              </w:rPr>
              <w:t>5</w:t>
            </w:r>
            <w:r>
              <w:rPr>
                <w:noProof/>
              </w:rPr>
              <w:fldChar w:fldCharType="end"/>
            </w:r>
          </w:hyperlink>
        </w:p>
        <w:p w14:paraId="085D13DC" w14:textId="120BCC16" w:rsidR="00E931F1" w:rsidRDefault="00E931F1">
          <w:pPr>
            <w:pStyle w:val="TOC2"/>
            <w:tabs>
              <w:tab w:val="right" w:leader="dot" w:pos="9350"/>
            </w:tabs>
            <w:rPr>
              <w:noProof/>
            </w:rPr>
          </w:pPr>
          <w:hyperlink w:anchor="_Toc229110947" w:history="1">
            <w:r w:rsidRPr="00D02D5A">
              <w:rPr>
                <w:rStyle w:val="Hyperlink"/>
                <w:noProof/>
              </w:rPr>
              <w:t>3.1  The Three Fundamental Questions</w:t>
            </w:r>
            <w:r>
              <w:rPr>
                <w:noProof/>
              </w:rPr>
              <w:tab/>
            </w:r>
            <w:r>
              <w:rPr>
                <w:noProof/>
              </w:rPr>
              <w:fldChar w:fldCharType="begin"/>
            </w:r>
            <w:r>
              <w:rPr>
                <w:noProof/>
              </w:rPr>
              <w:instrText xml:space="preserve"> PAGEREF _Toc229110947 \h </w:instrText>
            </w:r>
            <w:r>
              <w:rPr>
                <w:noProof/>
              </w:rPr>
            </w:r>
            <w:r>
              <w:rPr>
                <w:noProof/>
              </w:rPr>
              <w:fldChar w:fldCharType="separate"/>
            </w:r>
            <w:r>
              <w:rPr>
                <w:noProof/>
              </w:rPr>
              <w:t>5</w:t>
            </w:r>
            <w:r>
              <w:rPr>
                <w:noProof/>
              </w:rPr>
              <w:fldChar w:fldCharType="end"/>
            </w:r>
          </w:hyperlink>
        </w:p>
        <w:p w14:paraId="75CF9D8F" w14:textId="6500B841" w:rsidR="00E931F1" w:rsidRDefault="00E931F1">
          <w:pPr>
            <w:pStyle w:val="TOC2"/>
            <w:tabs>
              <w:tab w:val="right" w:leader="dot" w:pos="9350"/>
            </w:tabs>
            <w:rPr>
              <w:noProof/>
            </w:rPr>
          </w:pPr>
          <w:hyperlink w:anchor="_Toc229110948" w:history="1">
            <w:r w:rsidRPr="00D02D5A">
              <w:rPr>
                <w:rStyle w:val="Hyperlink"/>
                <w:noProof/>
              </w:rPr>
              <w:t>3.2  Dynkin's Formula and the SDE Connection</w:t>
            </w:r>
            <w:r>
              <w:rPr>
                <w:noProof/>
              </w:rPr>
              <w:tab/>
            </w:r>
            <w:r>
              <w:rPr>
                <w:noProof/>
              </w:rPr>
              <w:fldChar w:fldCharType="begin"/>
            </w:r>
            <w:r>
              <w:rPr>
                <w:noProof/>
              </w:rPr>
              <w:instrText xml:space="preserve"> PAGEREF _Toc229110948 \h </w:instrText>
            </w:r>
            <w:r>
              <w:rPr>
                <w:noProof/>
              </w:rPr>
            </w:r>
            <w:r>
              <w:rPr>
                <w:noProof/>
              </w:rPr>
              <w:fldChar w:fldCharType="separate"/>
            </w:r>
            <w:r>
              <w:rPr>
                <w:noProof/>
              </w:rPr>
              <w:t>6</w:t>
            </w:r>
            <w:r>
              <w:rPr>
                <w:noProof/>
              </w:rPr>
              <w:fldChar w:fldCharType="end"/>
            </w:r>
          </w:hyperlink>
        </w:p>
        <w:p w14:paraId="38DC7175" w14:textId="6DEE3B3A" w:rsidR="00E931F1" w:rsidRDefault="00E931F1">
          <w:pPr>
            <w:pStyle w:val="TOC2"/>
            <w:tabs>
              <w:tab w:val="right" w:leader="dot" w:pos="9350"/>
            </w:tabs>
            <w:rPr>
              <w:noProof/>
            </w:rPr>
          </w:pPr>
          <w:hyperlink w:anchor="_Toc229110949" w:history="1">
            <w:r w:rsidRPr="00D02D5A">
              <w:rPr>
                <w:rStyle w:val="Hyperlink"/>
                <w:noProof/>
              </w:rPr>
              <w:t>3.3  Error Bounds (Theorem 4)</w:t>
            </w:r>
            <w:r>
              <w:rPr>
                <w:noProof/>
              </w:rPr>
              <w:tab/>
            </w:r>
            <w:r>
              <w:rPr>
                <w:noProof/>
              </w:rPr>
              <w:fldChar w:fldCharType="begin"/>
            </w:r>
            <w:r>
              <w:rPr>
                <w:noProof/>
              </w:rPr>
              <w:instrText xml:space="preserve"> PAGEREF _Toc229110949 \h </w:instrText>
            </w:r>
            <w:r>
              <w:rPr>
                <w:noProof/>
              </w:rPr>
            </w:r>
            <w:r>
              <w:rPr>
                <w:noProof/>
              </w:rPr>
              <w:fldChar w:fldCharType="separate"/>
            </w:r>
            <w:r>
              <w:rPr>
                <w:noProof/>
              </w:rPr>
              <w:t>6</w:t>
            </w:r>
            <w:r>
              <w:rPr>
                <w:noProof/>
              </w:rPr>
              <w:fldChar w:fldCharType="end"/>
            </w:r>
          </w:hyperlink>
        </w:p>
        <w:p w14:paraId="7BF96EBD" w14:textId="5FA09D59" w:rsidR="00E931F1" w:rsidRDefault="00E931F1">
          <w:pPr>
            <w:pStyle w:val="TOC2"/>
            <w:tabs>
              <w:tab w:val="right" w:leader="dot" w:pos="9350"/>
            </w:tabs>
            <w:rPr>
              <w:noProof/>
            </w:rPr>
          </w:pPr>
          <w:hyperlink w:anchor="_Toc229110950" w:history="1">
            <w:r w:rsidRPr="00D02D5A">
              <w:rPr>
                <w:rStyle w:val="Hyperlink"/>
                <w:noProof/>
              </w:rPr>
              <w:t>3.4  Generalization from Training Error (Corollary 3)</w:t>
            </w:r>
            <w:r>
              <w:rPr>
                <w:noProof/>
              </w:rPr>
              <w:tab/>
            </w:r>
            <w:r>
              <w:rPr>
                <w:noProof/>
              </w:rPr>
              <w:fldChar w:fldCharType="begin"/>
            </w:r>
            <w:r>
              <w:rPr>
                <w:noProof/>
              </w:rPr>
              <w:instrText xml:space="preserve"> PAGEREF _Toc229110950 \h </w:instrText>
            </w:r>
            <w:r>
              <w:rPr>
                <w:noProof/>
              </w:rPr>
            </w:r>
            <w:r>
              <w:rPr>
                <w:noProof/>
              </w:rPr>
              <w:fldChar w:fldCharType="separate"/>
            </w:r>
            <w:r>
              <w:rPr>
                <w:noProof/>
              </w:rPr>
              <w:t>6</w:t>
            </w:r>
            <w:r>
              <w:rPr>
                <w:noProof/>
              </w:rPr>
              <w:fldChar w:fldCharType="end"/>
            </w:r>
          </w:hyperlink>
        </w:p>
        <w:p w14:paraId="2B1A55AD" w14:textId="23143AA6" w:rsidR="00E931F1" w:rsidRDefault="00E931F1">
          <w:pPr>
            <w:pStyle w:val="TOC1"/>
            <w:tabs>
              <w:tab w:val="right" w:leader="dot" w:pos="9350"/>
            </w:tabs>
            <w:rPr>
              <w:noProof/>
            </w:rPr>
          </w:pPr>
          <w:hyperlink w:anchor="_Toc229110951" w:history="1">
            <w:r w:rsidRPr="00D02D5A">
              <w:rPr>
                <w:rStyle w:val="Hyperlink"/>
                <w:noProof/>
              </w:rPr>
              <w:t>4. Methodology</w:t>
            </w:r>
            <w:r>
              <w:rPr>
                <w:noProof/>
              </w:rPr>
              <w:tab/>
            </w:r>
            <w:r>
              <w:rPr>
                <w:noProof/>
              </w:rPr>
              <w:fldChar w:fldCharType="begin"/>
            </w:r>
            <w:r>
              <w:rPr>
                <w:noProof/>
              </w:rPr>
              <w:instrText xml:space="preserve"> PAGEREF _Toc229110951 \h </w:instrText>
            </w:r>
            <w:r>
              <w:rPr>
                <w:noProof/>
              </w:rPr>
            </w:r>
            <w:r>
              <w:rPr>
                <w:noProof/>
              </w:rPr>
              <w:fldChar w:fldCharType="separate"/>
            </w:r>
            <w:r>
              <w:rPr>
                <w:noProof/>
              </w:rPr>
              <w:t>8</w:t>
            </w:r>
            <w:r>
              <w:rPr>
                <w:noProof/>
              </w:rPr>
              <w:fldChar w:fldCharType="end"/>
            </w:r>
          </w:hyperlink>
        </w:p>
        <w:p w14:paraId="2C55A1FE" w14:textId="4F1F6FBF" w:rsidR="00E931F1" w:rsidRDefault="00E931F1">
          <w:pPr>
            <w:pStyle w:val="TOC2"/>
            <w:tabs>
              <w:tab w:val="right" w:leader="dot" w:pos="9350"/>
            </w:tabs>
            <w:rPr>
              <w:noProof/>
            </w:rPr>
          </w:pPr>
          <w:hyperlink w:anchor="_Toc229110952" w:history="1">
            <w:r w:rsidRPr="00D02D5A">
              <w:rPr>
                <w:rStyle w:val="Hyperlink"/>
                <w:noProof/>
              </w:rPr>
              <w:t>4.1  Overview of the PINN Framework</w:t>
            </w:r>
            <w:r>
              <w:rPr>
                <w:noProof/>
              </w:rPr>
              <w:tab/>
            </w:r>
            <w:r>
              <w:rPr>
                <w:noProof/>
              </w:rPr>
              <w:fldChar w:fldCharType="begin"/>
            </w:r>
            <w:r>
              <w:rPr>
                <w:noProof/>
              </w:rPr>
              <w:instrText xml:space="preserve"> PAGEREF _Toc229110952 \h </w:instrText>
            </w:r>
            <w:r>
              <w:rPr>
                <w:noProof/>
              </w:rPr>
            </w:r>
            <w:r>
              <w:rPr>
                <w:noProof/>
              </w:rPr>
              <w:fldChar w:fldCharType="separate"/>
            </w:r>
            <w:r>
              <w:rPr>
                <w:noProof/>
              </w:rPr>
              <w:t>8</w:t>
            </w:r>
            <w:r>
              <w:rPr>
                <w:noProof/>
              </w:rPr>
              <w:fldChar w:fldCharType="end"/>
            </w:r>
          </w:hyperlink>
        </w:p>
        <w:p w14:paraId="6C346670" w14:textId="45844CD7" w:rsidR="00E931F1" w:rsidRDefault="00E931F1">
          <w:pPr>
            <w:pStyle w:val="TOC2"/>
            <w:tabs>
              <w:tab w:val="right" w:leader="dot" w:pos="9350"/>
            </w:tabs>
            <w:rPr>
              <w:noProof/>
            </w:rPr>
          </w:pPr>
          <w:hyperlink w:anchor="_Toc229110953" w:history="1">
            <w:r w:rsidRPr="00D02D5A">
              <w:rPr>
                <w:rStyle w:val="Hyperlink"/>
                <w:noProof/>
              </w:rPr>
              <w:t>4.2  Real Data Pipeline</w:t>
            </w:r>
            <w:r>
              <w:rPr>
                <w:noProof/>
              </w:rPr>
              <w:tab/>
            </w:r>
            <w:r>
              <w:rPr>
                <w:noProof/>
              </w:rPr>
              <w:fldChar w:fldCharType="begin"/>
            </w:r>
            <w:r>
              <w:rPr>
                <w:noProof/>
              </w:rPr>
              <w:instrText xml:space="preserve"> PAGEREF _Toc229110953 \h </w:instrText>
            </w:r>
            <w:r>
              <w:rPr>
                <w:noProof/>
              </w:rPr>
            </w:r>
            <w:r>
              <w:rPr>
                <w:noProof/>
              </w:rPr>
              <w:fldChar w:fldCharType="separate"/>
            </w:r>
            <w:r>
              <w:rPr>
                <w:noProof/>
              </w:rPr>
              <w:t>8</w:t>
            </w:r>
            <w:r>
              <w:rPr>
                <w:noProof/>
              </w:rPr>
              <w:fldChar w:fldCharType="end"/>
            </w:r>
          </w:hyperlink>
        </w:p>
        <w:p w14:paraId="314AB65F" w14:textId="1E5462A2" w:rsidR="00E931F1" w:rsidRDefault="00E931F1">
          <w:pPr>
            <w:pStyle w:val="TOC2"/>
            <w:tabs>
              <w:tab w:val="right" w:leader="dot" w:pos="9350"/>
            </w:tabs>
            <w:rPr>
              <w:noProof/>
            </w:rPr>
          </w:pPr>
          <w:hyperlink w:anchor="_Toc229110954" w:history="1">
            <w:r w:rsidRPr="00D02D5A">
              <w:rPr>
                <w:rStyle w:val="Hyperlink"/>
                <w:noProof/>
              </w:rPr>
              <w:t>4.3  Neural Network Architecture</w:t>
            </w:r>
            <w:r>
              <w:rPr>
                <w:noProof/>
              </w:rPr>
              <w:tab/>
            </w:r>
            <w:r>
              <w:rPr>
                <w:noProof/>
              </w:rPr>
              <w:fldChar w:fldCharType="begin"/>
            </w:r>
            <w:r>
              <w:rPr>
                <w:noProof/>
              </w:rPr>
              <w:instrText xml:space="preserve"> PAGEREF _Toc229110954 \h </w:instrText>
            </w:r>
            <w:r>
              <w:rPr>
                <w:noProof/>
              </w:rPr>
            </w:r>
            <w:r>
              <w:rPr>
                <w:noProof/>
              </w:rPr>
              <w:fldChar w:fldCharType="separate"/>
            </w:r>
            <w:r>
              <w:rPr>
                <w:noProof/>
              </w:rPr>
              <w:t>8</w:t>
            </w:r>
            <w:r>
              <w:rPr>
                <w:noProof/>
              </w:rPr>
              <w:fldChar w:fldCharType="end"/>
            </w:r>
          </w:hyperlink>
        </w:p>
        <w:p w14:paraId="1A4332B4" w14:textId="32EE01C5" w:rsidR="00E931F1" w:rsidRDefault="00E931F1">
          <w:pPr>
            <w:pStyle w:val="TOC2"/>
            <w:tabs>
              <w:tab w:val="right" w:leader="dot" w:pos="9350"/>
            </w:tabs>
            <w:rPr>
              <w:noProof/>
            </w:rPr>
          </w:pPr>
          <w:hyperlink w:anchor="_Toc229110955" w:history="1">
            <w:r w:rsidRPr="00D02D5A">
              <w:rPr>
                <w:rStyle w:val="Hyperlink"/>
                <w:noProof/>
              </w:rPr>
              <w:t>4.4  Loss Function</w:t>
            </w:r>
            <w:r>
              <w:rPr>
                <w:noProof/>
              </w:rPr>
              <w:tab/>
            </w:r>
            <w:r>
              <w:rPr>
                <w:noProof/>
              </w:rPr>
              <w:fldChar w:fldCharType="begin"/>
            </w:r>
            <w:r>
              <w:rPr>
                <w:noProof/>
              </w:rPr>
              <w:instrText xml:space="preserve"> PAGEREF _Toc229110955 \h </w:instrText>
            </w:r>
            <w:r>
              <w:rPr>
                <w:noProof/>
              </w:rPr>
            </w:r>
            <w:r>
              <w:rPr>
                <w:noProof/>
              </w:rPr>
              <w:fldChar w:fldCharType="separate"/>
            </w:r>
            <w:r>
              <w:rPr>
                <w:noProof/>
              </w:rPr>
              <w:t>9</w:t>
            </w:r>
            <w:r>
              <w:rPr>
                <w:noProof/>
              </w:rPr>
              <w:fldChar w:fldCharType="end"/>
            </w:r>
          </w:hyperlink>
        </w:p>
        <w:p w14:paraId="1EFCF537" w14:textId="34CC83C0" w:rsidR="00E931F1" w:rsidRDefault="00E931F1">
          <w:pPr>
            <w:pStyle w:val="TOC2"/>
            <w:tabs>
              <w:tab w:val="right" w:leader="dot" w:pos="9350"/>
            </w:tabs>
            <w:rPr>
              <w:noProof/>
            </w:rPr>
          </w:pPr>
          <w:hyperlink w:anchor="_Toc229110956" w:history="1">
            <w:r w:rsidRPr="00D02D5A">
              <w:rPr>
                <w:rStyle w:val="Hyperlink"/>
                <w:noProof/>
              </w:rPr>
              <w:t>4.5  The Adam Optimizer</w:t>
            </w:r>
            <w:r>
              <w:rPr>
                <w:noProof/>
              </w:rPr>
              <w:tab/>
            </w:r>
            <w:r>
              <w:rPr>
                <w:noProof/>
              </w:rPr>
              <w:fldChar w:fldCharType="begin"/>
            </w:r>
            <w:r>
              <w:rPr>
                <w:noProof/>
              </w:rPr>
              <w:instrText xml:space="preserve"> PAGEREF _Toc229110956 \h </w:instrText>
            </w:r>
            <w:r>
              <w:rPr>
                <w:noProof/>
              </w:rPr>
            </w:r>
            <w:r>
              <w:rPr>
                <w:noProof/>
              </w:rPr>
              <w:fldChar w:fldCharType="separate"/>
            </w:r>
            <w:r>
              <w:rPr>
                <w:noProof/>
              </w:rPr>
              <w:t>9</w:t>
            </w:r>
            <w:r>
              <w:rPr>
                <w:noProof/>
              </w:rPr>
              <w:fldChar w:fldCharType="end"/>
            </w:r>
          </w:hyperlink>
        </w:p>
        <w:p w14:paraId="6957FFF1" w14:textId="5268B015" w:rsidR="00E931F1" w:rsidRDefault="00E931F1">
          <w:pPr>
            <w:pStyle w:val="TOC2"/>
            <w:tabs>
              <w:tab w:val="right" w:leader="dot" w:pos="9350"/>
            </w:tabs>
            <w:rPr>
              <w:noProof/>
            </w:rPr>
          </w:pPr>
          <w:hyperlink w:anchor="_Toc229110957" w:history="1">
            <w:r w:rsidRPr="00D02D5A">
              <w:rPr>
                <w:rStyle w:val="Hyperlink"/>
                <w:noProof/>
              </w:rPr>
              <w:t>4.6  The L-BFGS Optimizer</w:t>
            </w:r>
            <w:r>
              <w:rPr>
                <w:noProof/>
              </w:rPr>
              <w:tab/>
            </w:r>
            <w:r>
              <w:rPr>
                <w:noProof/>
              </w:rPr>
              <w:fldChar w:fldCharType="begin"/>
            </w:r>
            <w:r>
              <w:rPr>
                <w:noProof/>
              </w:rPr>
              <w:instrText xml:space="preserve"> PAGEREF _Toc229110957 \h </w:instrText>
            </w:r>
            <w:r>
              <w:rPr>
                <w:noProof/>
              </w:rPr>
            </w:r>
            <w:r>
              <w:rPr>
                <w:noProof/>
              </w:rPr>
              <w:fldChar w:fldCharType="separate"/>
            </w:r>
            <w:r>
              <w:rPr>
                <w:noProof/>
              </w:rPr>
              <w:t>9</w:t>
            </w:r>
            <w:r>
              <w:rPr>
                <w:noProof/>
              </w:rPr>
              <w:fldChar w:fldCharType="end"/>
            </w:r>
          </w:hyperlink>
        </w:p>
        <w:p w14:paraId="7002ACE5" w14:textId="1F0FD314" w:rsidR="00E931F1" w:rsidRDefault="00E931F1">
          <w:pPr>
            <w:pStyle w:val="TOC2"/>
            <w:tabs>
              <w:tab w:val="right" w:leader="dot" w:pos="9350"/>
            </w:tabs>
            <w:rPr>
              <w:noProof/>
            </w:rPr>
          </w:pPr>
          <w:hyperlink w:anchor="_Toc229110958" w:history="1">
            <w:r w:rsidRPr="00D02D5A">
              <w:rPr>
                <w:rStyle w:val="Hyperlink"/>
                <w:noProof/>
              </w:rPr>
              <w:t>4.7  Automatic Differentiation via PyTorch Autograd</w:t>
            </w:r>
            <w:r>
              <w:rPr>
                <w:noProof/>
              </w:rPr>
              <w:tab/>
            </w:r>
            <w:r>
              <w:rPr>
                <w:noProof/>
              </w:rPr>
              <w:fldChar w:fldCharType="begin"/>
            </w:r>
            <w:r>
              <w:rPr>
                <w:noProof/>
              </w:rPr>
              <w:instrText xml:space="preserve"> PAGEREF _Toc229110958 \h </w:instrText>
            </w:r>
            <w:r>
              <w:rPr>
                <w:noProof/>
              </w:rPr>
            </w:r>
            <w:r>
              <w:rPr>
                <w:noProof/>
              </w:rPr>
              <w:fldChar w:fldCharType="separate"/>
            </w:r>
            <w:r>
              <w:rPr>
                <w:noProof/>
              </w:rPr>
              <w:t>10</w:t>
            </w:r>
            <w:r>
              <w:rPr>
                <w:noProof/>
              </w:rPr>
              <w:fldChar w:fldCharType="end"/>
            </w:r>
          </w:hyperlink>
        </w:p>
        <w:p w14:paraId="31AFC00F" w14:textId="43AA9DA0" w:rsidR="00E931F1" w:rsidRDefault="00E931F1">
          <w:pPr>
            <w:pStyle w:val="TOC2"/>
            <w:tabs>
              <w:tab w:val="right" w:leader="dot" w:pos="9350"/>
            </w:tabs>
            <w:rPr>
              <w:noProof/>
            </w:rPr>
          </w:pPr>
          <w:hyperlink w:anchor="_Toc229110959" w:history="1">
            <w:r w:rsidRPr="00D02D5A">
              <w:rPr>
                <w:rStyle w:val="Hyperlink"/>
                <w:noProof/>
              </w:rPr>
              <w:t>4.8  The Exact Black-Scholes Formula (Benchmark)</w:t>
            </w:r>
            <w:r>
              <w:rPr>
                <w:noProof/>
              </w:rPr>
              <w:tab/>
            </w:r>
            <w:r>
              <w:rPr>
                <w:noProof/>
              </w:rPr>
              <w:fldChar w:fldCharType="begin"/>
            </w:r>
            <w:r>
              <w:rPr>
                <w:noProof/>
              </w:rPr>
              <w:instrText xml:space="preserve"> PAGEREF _Toc229110959 \h </w:instrText>
            </w:r>
            <w:r>
              <w:rPr>
                <w:noProof/>
              </w:rPr>
            </w:r>
            <w:r>
              <w:rPr>
                <w:noProof/>
              </w:rPr>
              <w:fldChar w:fldCharType="separate"/>
            </w:r>
            <w:r>
              <w:rPr>
                <w:noProof/>
              </w:rPr>
              <w:t>10</w:t>
            </w:r>
            <w:r>
              <w:rPr>
                <w:noProof/>
              </w:rPr>
              <w:fldChar w:fldCharType="end"/>
            </w:r>
          </w:hyperlink>
        </w:p>
        <w:p w14:paraId="3E67C475" w14:textId="2A4F6F8F" w:rsidR="00E931F1" w:rsidRDefault="00E931F1">
          <w:pPr>
            <w:pStyle w:val="TOC1"/>
            <w:tabs>
              <w:tab w:val="right" w:leader="dot" w:pos="9350"/>
            </w:tabs>
            <w:rPr>
              <w:noProof/>
            </w:rPr>
          </w:pPr>
          <w:hyperlink w:anchor="_Toc229110960" w:history="1">
            <w:r w:rsidRPr="00D02D5A">
              <w:rPr>
                <w:rStyle w:val="Hyperlink"/>
                <w:noProof/>
              </w:rPr>
              <w:t>5. Simulation Results and Visualisations</w:t>
            </w:r>
            <w:r>
              <w:rPr>
                <w:noProof/>
              </w:rPr>
              <w:tab/>
            </w:r>
            <w:r>
              <w:rPr>
                <w:noProof/>
              </w:rPr>
              <w:fldChar w:fldCharType="begin"/>
            </w:r>
            <w:r>
              <w:rPr>
                <w:noProof/>
              </w:rPr>
              <w:instrText xml:space="preserve"> PAGEREF _Toc229110960 \h </w:instrText>
            </w:r>
            <w:r>
              <w:rPr>
                <w:noProof/>
              </w:rPr>
            </w:r>
            <w:r>
              <w:rPr>
                <w:noProof/>
              </w:rPr>
              <w:fldChar w:fldCharType="separate"/>
            </w:r>
            <w:r>
              <w:rPr>
                <w:noProof/>
              </w:rPr>
              <w:t>11</w:t>
            </w:r>
            <w:r>
              <w:rPr>
                <w:noProof/>
              </w:rPr>
              <w:fldChar w:fldCharType="end"/>
            </w:r>
          </w:hyperlink>
        </w:p>
        <w:p w14:paraId="2DE8A182" w14:textId="36ABC068" w:rsidR="00E931F1" w:rsidRDefault="00E931F1">
          <w:pPr>
            <w:pStyle w:val="TOC2"/>
            <w:tabs>
              <w:tab w:val="right" w:leader="dot" w:pos="9350"/>
            </w:tabs>
            <w:rPr>
              <w:noProof/>
            </w:rPr>
          </w:pPr>
          <w:hyperlink w:anchor="_Toc229110961" w:history="1">
            <w:r w:rsidRPr="00D02D5A">
              <w:rPr>
                <w:rStyle w:val="Hyperlink"/>
                <w:noProof/>
              </w:rPr>
              <w:t>5.1  PINN Prediction vs. Exact Black-Scholes (3D Surface)</w:t>
            </w:r>
            <w:r>
              <w:rPr>
                <w:noProof/>
              </w:rPr>
              <w:tab/>
            </w:r>
            <w:r>
              <w:rPr>
                <w:noProof/>
              </w:rPr>
              <w:fldChar w:fldCharType="begin"/>
            </w:r>
            <w:r>
              <w:rPr>
                <w:noProof/>
              </w:rPr>
              <w:instrText xml:space="preserve"> PAGEREF _Toc229110961 \h </w:instrText>
            </w:r>
            <w:r>
              <w:rPr>
                <w:noProof/>
              </w:rPr>
            </w:r>
            <w:r>
              <w:rPr>
                <w:noProof/>
              </w:rPr>
              <w:fldChar w:fldCharType="separate"/>
            </w:r>
            <w:r>
              <w:rPr>
                <w:noProof/>
              </w:rPr>
              <w:t>11</w:t>
            </w:r>
            <w:r>
              <w:rPr>
                <w:noProof/>
              </w:rPr>
              <w:fldChar w:fldCharType="end"/>
            </w:r>
          </w:hyperlink>
        </w:p>
        <w:p w14:paraId="5088CC5F" w14:textId="2658FAC3" w:rsidR="00E931F1" w:rsidRDefault="00E931F1">
          <w:pPr>
            <w:pStyle w:val="TOC2"/>
            <w:tabs>
              <w:tab w:val="right" w:leader="dot" w:pos="9350"/>
            </w:tabs>
            <w:rPr>
              <w:noProof/>
            </w:rPr>
          </w:pPr>
          <w:hyperlink w:anchor="_Toc229110962" w:history="1">
            <w:r w:rsidRPr="00D02D5A">
              <w:rPr>
                <w:rStyle w:val="Hyperlink"/>
                <w:noProof/>
              </w:rPr>
              <w:t>5.2  Absolute Error Heatmap</w:t>
            </w:r>
            <w:r>
              <w:rPr>
                <w:noProof/>
              </w:rPr>
              <w:tab/>
            </w:r>
            <w:r>
              <w:rPr>
                <w:noProof/>
              </w:rPr>
              <w:fldChar w:fldCharType="begin"/>
            </w:r>
            <w:r>
              <w:rPr>
                <w:noProof/>
              </w:rPr>
              <w:instrText xml:space="preserve"> PAGEREF _Toc229110962 \h </w:instrText>
            </w:r>
            <w:r>
              <w:rPr>
                <w:noProof/>
              </w:rPr>
            </w:r>
            <w:r>
              <w:rPr>
                <w:noProof/>
              </w:rPr>
              <w:fldChar w:fldCharType="separate"/>
            </w:r>
            <w:r>
              <w:rPr>
                <w:noProof/>
              </w:rPr>
              <w:t>12</w:t>
            </w:r>
            <w:r>
              <w:rPr>
                <w:noProof/>
              </w:rPr>
              <w:fldChar w:fldCharType="end"/>
            </w:r>
          </w:hyperlink>
        </w:p>
        <w:p w14:paraId="2B1531AE" w14:textId="0A16BE0F" w:rsidR="00E931F1" w:rsidRDefault="00E931F1">
          <w:pPr>
            <w:pStyle w:val="TOC2"/>
            <w:tabs>
              <w:tab w:val="right" w:leader="dot" w:pos="9350"/>
            </w:tabs>
            <w:rPr>
              <w:noProof/>
            </w:rPr>
          </w:pPr>
          <w:hyperlink w:anchor="_Toc229110963" w:history="1">
            <w:r w:rsidRPr="00D02D5A">
              <w:rPr>
                <w:rStyle w:val="Hyperlink"/>
                <w:noProof/>
              </w:rPr>
              <w:t>5.3  Time-Slice Comparison: PINN vs. Exact</w:t>
            </w:r>
            <w:r>
              <w:rPr>
                <w:noProof/>
              </w:rPr>
              <w:tab/>
            </w:r>
            <w:r>
              <w:rPr>
                <w:noProof/>
              </w:rPr>
              <w:fldChar w:fldCharType="begin"/>
            </w:r>
            <w:r>
              <w:rPr>
                <w:noProof/>
              </w:rPr>
              <w:instrText xml:space="preserve"> PAGEREF _Toc229110963 \h </w:instrText>
            </w:r>
            <w:r>
              <w:rPr>
                <w:noProof/>
              </w:rPr>
            </w:r>
            <w:r>
              <w:rPr>
                <w:noProof/>
              </w:rPr>
              <w:fldChar w:fldCharType="separate"/>
            </w:r>
            <w:r>
              <w:rPr>
                <w:noProof/>
              </w:rPr>
              <w:t>12</w:t>
            </w:r>
            <w:r>
              <w:rPr>
                <w:noProof/>
              </w:rPr>
              <w:fldChar w:fldCharType="end"/>
            </w:r>
          </w:hyperlink>
        </w:p>
        <w:p w14:paraId="671F9987" w14:textId="214F1AE4" w:rsidR="00E931F1" w:rsidRDefault="00E931F1">
          <w:pPr>
            <w:pStyle w:val="TOC2"/>
            <w:tabs>
              <w:tab w:val="right" w:leader="dot" w:pos="9350"/>
            </w:tabs>
            <w:rPr>
              <w:noProof/>
            </w:rPr>
          </w:pPr>
          <w:hyperlink w:anchor="_Toc229110964" w:history="1">
            <w:r w:rsidRPr="00D02D5A">
              <w:rPr>
                <w:rStyle w:val="Hyperlink"/>
                <w:noProof/>
              </w:rPr>
              <w:t>5.4  Option Delta (Greeks) Computation</w:t>
            </w:r>
            <w:r>
              <w:rPr>
                <w:noProof/>
              </w:rPr>
              <w:tab/>
            </w:r>
            <w:r>
              <w:rPr>
                <w:noProof/>
              </w:rPr>
              <w:fldChar w:fldCharType="begin"/>
            </w:r>
            <w:r>
              <w:rPr>
                <w:noProof/>
              </w:rPr>
              <w:instrText xml:space="preserve"> PAGEREF _Toc229110964 \h </w:instrText>
            </w:r>
            <w:r>
              <w:rPr>
                <w:noProof/>
              </w:rPr>
            </w:r>
            <w:r>
              <w:rPr>
                <w:noProof/>
              </w:rPr>
              <w:fldChar w:fldCharType="separate"/>
            </w:r>
            <w:r>
              <w:rPr>
                <w:noProof/>
              </w:rPr>
              <w:t>13</w:t>
            </w:r>
            <w:r>
              <w:rPr>
                <w:noProof/>
              </w:rPr>
              <w:fldChar w:fldCharType="end"/>
            </w:r>
          </w:hyperlink>
        </w:p>
        <w:p w14:paraId="4251CE86" w14:textId="6520FDD5" w:rsidR="00E931F1" w:rsidRDefault="00E931F1">
          <w:pPr>
            <w:pStyle w:val="TOC2"/>
            <w:tabs>
              <w:tab w:val="right" w:leader="dot" w:pos="9350"/>
            </w:tabs>
            <w:rPr>
              <w:noProof/>
            </w:rPr>
          </w:pPr>
          <w:hyperlink w:anchor="_Toc229110965" w:history="1">
            <w:r w:rsidRPr="00D02D5A">
              <w:rPr>
                <w:rStyle w:val="Hyperlink"/>
                <w:noProof/>
              </w:rPr>
              <w:t>5.5  Pricing Across Real Volatility Regimes</w:t>
            </w:r>
            <w:r>
              <w:rPr>
                <w:noProof/>
              </w:rPr>
              <w:tab/>
            </w:r>
            <w:r>
              <w:rPr>
                <w:noProof/>
              </w:rPr>
              <w:fldChar w:fldCharType="begin"/>
            </w:r>
            <w:r>
              <w:rPr>
                <w:noProof/>
              </w:rPr>
              <w:instrText xml:space="preserve"> PAGEREF _Toc229110965 \h </w:instrText>
            </w:r>
            <w:r>
              <w:rPr>
                <w:noProof/>
              </w:rPr>
            </w:r>
            <w:r>
              <w:rPr>
                <w:noProof/>
              </w:rPr>
              <w:fldChar w:fldCharType="separate"/>
            </w:r>
            <w:r>
              <w:rPr>
                <w:noProof/>
              </w:rPr>
              <w:t>14</w:t>
            </w:r>
            <w:r>
              <w:rPr>
                <w:noProof/>
              </w:rPr>
              <w:fldChar w:fldCharType="end"/>
            </w:r>
          </w:hyperlink>
        </w:p>
        <w:p w14:paraId="576CB588" w14:textId="259F5C80" w:rsidR="00E931F1" w:rsidRDefault="00E931F1">
          <w:pPr>
            <w:pStyle w:val="TOC2"/>
            <w:tabs>
              <w:tab w:val="right" w:leader="dot" w:pos="9350"/>
            </w:tabs>
            <w:rPr>
              <w:noProof/>
            </w:rPr>
          </w:pPr>
          <w:hyperlink w:anchor="_Toc229110966" w:history="1">
            <w:r w:rsidRPr="00D02D5A">
              <w:rPr>
                <w:rStyle w:val="Hyperlink"/>
                <w:noProof/>
              </w:rPr>
              <w:t>5.6  ATM Call Price for All 50 NSE Stocks (PINN vs. Exact B-S)</w:t>
            </w:r>
            <w:r>
              <w:rPr>
                <w:noProof/>
              </w:rPr>
              <w:tab/>
            </w:r>
            <w:r>
              <w:rPr>
                <w:noProof/>
              </w:rPr>
              <w:fldChar w:fldCharType="begin"/>
            </w:r>
            <w:r>
              <w:rPr>
                <w:noProof/>
              </w:rPr>
              <w:instrText xml:space="preserve"> PAGEREF _Toc229110966 \h </w:instrText>
            </w:r>
            <w:r>
              <w:rPr>
                <w:noProof/>
              </w:rPr>
            </w:r>
            <w:r>
              <w:rPr>
                <w:noProof/>
              </w:rPr>
              <w:fldChar w:fldCharType="separate"/>
            </w:r>
            <w:r>
              <w:rPr>
                <w:noProof/>
              </w:rPr>
              <w:t>15</w:t>
            </w:r>
            <w:r>
              <w:rPr>
                <w:noProof/>
              </w:rPr>
              <w:fldChar w:fldCharType="end"/>
            </w:r>
          </w:hyperlink>
        </w:p>
        <w:p w14:paraId="007D0DDC" w14:textId="06C7FB08" w:rsidR="00E931F1" w:rsidRDefault="00E931F1">
          <w:pPr>
            <w:pStyle w:val="TOC2"/>
            <w:tabs>
              <w:tab w:val="right" w:leader="dot" w:pos="9350"/>
            </w:tabs>
            <w:rPr>
              <w:noProof/>
            </w:rPr>
          </w:pPr>
          <w:hyperlink w:anchor="_Toc229110967" w:history="1">
            <w:r w:rsidRPr="00D02D5A">
              <w:rPr>
                <w:rStyle w:val="Hyperlink"/>
                <w:noProof/>
              </w:rPr>
              <w:t>5.7  Top-5 and Bottom-5 Stocks: Detailed Comparison</w:t>
            </w:r>
            <w:r>
              <w:rPr>
                <w:noProof/>
              </w:rPr>
              <w:tab/>
            </w:r>
            <w:r>
              <w:rPr>
                <w:noProof/>
              </w:rPr>
              <w:fldChar w:fldCharType="begin"/>
            </w:r>
            <w:r>
              <w:rPr>
                <w:noProof/>
              </w:rPr>
              <w:instrText xml:space="preserve"> PAGEREF _Toc229110967 \h </w:instrText>
            </w:r>
            <w:r>
              <w:rPr>
                <w:noProof/>
              </w:rPr>
            </w:r>
            <w:r>
              <w:rPr>
                <w:noProof/>
              </w:rPr>
              <w:fldChar w:fldCharType="separate"/>
            </w:r>
            <w:r>
              <w:rPr>
                <w:noProof/>
              </w:rPr>
              <w:t>16</w:t>
            </w:r>
            <w:r>
              <w:rPr>
                <w:noProof/>
              </w:rPr>
              <w:fldChar w:fldCharType="end"/>
            </w:r>
          </w:hyperlink>
        </w:p>
        <w:p w14:paraId="5889502A" w14:textId="396BBB9F" w:rsidR="00E931F1" w:rsidRDefault="00E931F1">
          <w:pPr>
            <w:pStyle w:val="TOC1"/>
            <w:tabs>
              <w:tab w:val="right" w:leader="dot" w:pos="9350"/>
            </w:tabs>
            <w:rPr>
              <w:noProof/>
            </w:rPr>
          </w:pPr>
          <w:hyperlink w:anchor="_Toc229110968" w:history="1">
            <w:r w:rsidRPr="00D02D5A">
              <w:rPr>
                <w:rStyle w:val="Hyperlink"/>
                <w:noProof/>
              </w:rPr>
              <w:t>6. Conclusions</w:t>
            </w:r>
            <w:r>
              <w:rPr>
                <w:noProof/>
              </w:rPr>
              <w:tab/>
            </w:r>
            <w:r>
              <w:rPr>
                <w:noProof/>
              </w:rPr>
              <w:fldChar w:fldCharType="begin"/>
            </w:r>
            <w:r>
              <w:rPr>
                <w:noProof/>
              </w:rPr>
              <w:instrText xml:space="preserve"> PAGEREF _Toc229110968 \h </w:instrText>
            </w:r>
            <w:r>
              <w:rPr>
                <w:noProof/>
              </w:rPr>
            </w:r>
            <w:r>
              <w:rPr>
                <w:noProof/>
              </w:rPr>
              <w:fldChar w:fldCharType="separate"/>
            </w:r>
            <w:r>
              <w:rPr>
                <w:noProof/>
              </w:rPr>
              <w:t>18</w:t>
            </w:r>
            <w:r>
              <w:rPr>
                <w:noProof/>
              </w:rPr>
              <w:fldChar w:fldCharType="end"/>
            </w:r>
          </w:hyperlink>
        </w:p>
        <w:p w14:paraId="26D551A6" w14:textId="0D08CEC7" w:rsidR="00E931F1" w:rsidRDefault="00E931F1">
          <w:pPr>
            <w:pStyle w:val="TOC2"/>
            <w:tabs>
              <w:tab w:val="right" w:leader="dot" w:pos="9350"/>
            </w:tabs>
            <w:rPr>
              <w:noProof/>
            </w:rPr>
          </w:pPr>
          <w:hyperlink w:anchor="_Toc229110969" w:history="1">
            <w:r w:rsidRPr="00D02D5A">
              <w:rPr>
                <w:rStyle w:val="Hyperlink"/>
                <w:noProof/>
              </w:rPr>
              <w:t>6.1  Summary of Findings</w:t>
            </w:r>
            <w:r>
              <w:rPr>
                <w:noProof/>
              </w:rPr>
              <w:tab/>
            </w:r>
            <w:r>
              <w:rPr>
                <w:noProof/>
              </w:rPr>
              <w:fldChar w:fldCharType="begin"/>
            </w:r>
            <w:r>
              <w:rPr>
                <w:noProof/>
              </w:rPr>
              <w:instrText xml:space="preserve"> PAGEREF _Toc229110969 \h </w:instrText>
            </w:r>
            <w:r>
              <w:rPr>
                <w:noProof/>
              </w:rPr>
            </w:r>
            <w:r>
              <w:rPr>
                <w:noProof/>
              </w:rPr>
              <w:fldChar w:fldCharType="separate"/>
            </w:r>
            <w:r>
              <w:rPr>
                <w:noProof/>
              </w:rPr>
              <w:t>18</w:t>
            </w:r>
            <w:r>
              <w:rPr>
                <w:noProof/>
              </w:rPr>
              <w:fldChar w:fldCharType="end"/>
            </w:r>
          </w:hyperlink>
        </w:p>
        <w:p w14:paraId="60AA0BF1" w14:textId="35327F12" w:rsidR="00E931F1" w:rsidRDefault="00E931F1">
          <w:pPr>
            <w:pStyle w:val="TOC2"/>
            <w:tabs>
              <w:tab w:val="right" w:leader="dot" w:pos="9350"/>
            </w:tabs>
            <w:rPr>
              <w:noProof/>
            </w:rPr>
          </w:pPr>
          <w:hyperlink w:anchor="_Toc229110970" w:history="1">
            <w:r w:rsidRPr="00D02D5A">
              <w:rPr>
                <w:rStyle w:val="Hyperlink"/>
                <w:noProof/>
              </w:rPr>
              <w:t>6.2  Limitations</w:t>
            </w:r>
            <w:r>
              <w:rPr>
                <w:noProof/>
              </w:rPr>
              <w:tab/>
            </w:r>
            <w:r>
              <w:rPr>
                <w:noProof/>
              </w:rPr>
              <w:fldChar w:fldCharType="begin"/>
            </w:r>
            <w:r>
              <w:rPr>
                <w:noProof/>
              </w:rPr>
              <w:instrText xml:space="preserve"> PAGEREF _Toc229110970 \h </w:instrText>
            </w:r>
            <w:r>
              <w:rPr>
                <w:noProof/>
              </w:rPr>
            </w:r>
            <w:r>
              <w:rPr>
                <w:noProof/>
              </w:rPr>
              <w:fldChar w:fldCharType="separate"/>
            </w:r>
            <w:r>
              <w:rPr>
                <w:noProof/>
              </w:rPr>
              <w:t>18</w:t>
            </w:r>
            <w:r>
              <w:rPr>
                <w:noProof/>
              </w:rPr>
              <w:fldChar w:fldCharType="end"/>
            </w:r>
          </w:hyperlink>
        </w:p>
        <w:p w14:paraId="7699170E" w14:textId="09B8C785" w:rsidR="00E931F1" w:rsidRDefault="00E931F1">
          <w:pPr>
            <w:pStyle w:val="TOC1"/>
            <w:tabs>
              <w:tab w:val="right" w:leader="dot" w:pos="9350"/>
            </w:tabs>
            <w:rPr>
              <w:noProof/>
            </w:rPr>
          </w:pPr>
          <w:hyperlink w:anchor="_Toc229110971" w:history="1">
            <w:r w:rsidRPr="00D02D5A">
              <w:rPr>
                <w:rStyle w:val="Hyperlink"/>
                <w:noProof/>
              </w:rPr>
              <w:t>7. Futuristic Implementations and Extensions</w:t>
            </w:r>
            <w:r>
              <w:rPr>
                <w:noProof/>
              </w:rPr>
              <w:tab/>
            </w:r>
            <w:r>
              <w:rPr>
                <w:noProof/>
              </w:rPr>
              <w:fldChar w:fldCharType="begin"/>
            </w:r>
            <w:r>
              <w:rPr>
                <w:noProof/>
              </w:rPr>
              <w:instrText xml:space="preserve"> PAGEREF _Toc229110971 \h </w:instrText>
            </w:r>
            <w:r>
              <w:rPr>
                <w:noProof/>
              </w:rPr>
            </w:r>
            <w:r>
              <w:rPr>
                <w:noProof/>
              </w:rPr>
              <w:fldChar w:fldCharType="separate"/>
            </w:r>
            <w:r>
              <w:rPr>
                <w:noProof/>
              </w:rPr>
              <w:t>19</w:t>
            </w:r>
            <w:r>
              <w:rPr>
                <w:noProof/>
              </w:rPr>
              <w:fldChar w:fldCharType="end"/>
            </w:r>
          </w:hyperlink>
        </w:p>
        <w:p w14:paraId="6A16739D" w14:textId="55666859" w:rsidR="00E931F1" w:rsidRDefault="00E931F1">
          <w:pPr>
            <w:pStyle w:val="TOC2"/>
            <w:tabs>
              <w:tab w:val="right" w:leader="dot" w:pos="9350"/>
            </w:tabs>
            <w:rPr>
              <w:noProof/>
            </w:rPr>
          </w:pPr>
          <w:hyperlink w:anchor="_Toc229110972" w:history="1">
            <w:r w:rsidRPr="00D02D5A">
              <w:rPr>
                <w:rStyle w:val="Hyperlink"/>
                <w:noProof/>
              </w:rPr>
              <w:t>7.1  Adaptive Sampling PINNs</w:t>
            </w:r>
            <w:r>
              <w:rPr>
                <w:noProof/>
              </w:rPr>
              <w:tab/>
            </w:r>
            <w:r>
              <w:rPr>
                <w:noProof/>
              </w:rPr>
              <w:fldChar w:fldCharType="begin"/>
            </w:r>
            <w:r>
              <w:rPr>
                <w:noProof/>
              </w:rPr>
              <w:instrText xml:space="preserve"> PAGEREF _Toc229110972 \h </w:instrText>
            </w:r>
            <w:r>
              <w:rPr>
                <w:noProof/>
              </w:rPr>
            </w:r>
            <w:r>
              <w:rPr>
                <w:noProof/>
              </w:rPr>
              <w:fldChar w:fldCharType="separate"/>
            </w:r>
            <w:r>
              <w:rPr>
                <w:noProof/>
              </w:rPr>
              <w:t>19</w:t>
            </w:r>
            <w:r>
              <w:rPr>
                <w:noProof/>
              </w:rPr>
              <w:fldChar w:fldCharType="end"/>
            </w:r>
          </w:hyperlink>
        </w:p>
        <w:p w14:paraId="7A5E2DDD" w14:textId="15CCCE55" w:rsidR="00E931F1" w:rsidRDefault="00E931F1">
          <w:pPr>
            <w:pStyle w:val="TOC2"/>
            <w:tabs>
              <w:tab w:val="right" w:leader="dot" w:pos="9350"/>
            </w:tabs>
            <w:rPr>
              <w:noProof/>
            </w:rPr>
          </w:pPr>
          <w:hyperlink w:anchor="_Toc229110973" w:history="1">
            <w:r w:rsidRPr="00D02D5A">
              <w:rPr>
                <w:rStyle w:val="Hyperlink"/>
                <w:noProof/>
              </w:rPr>
              <w:t>7.2  Stochastic Volatility PINNs (Heston Model)</w:t>
            </w:r>
            <w:r>
              <w:rPr>
                <w:noProof/>
              </w:rPr>
              <w:tab/>
            </w:r>
            <w:r>
              <w:rPr>
                <w:noProof/>
              </w:rPr>
              <w:fldChar w:fldCharType="begin"/>
            </w:r>
            <w:r>
              <w:rPr>
                <w:noProof/>
              </w:rPr>
              <w:instrText xml:space="preserve"> PAGEREF _Toc229110973 \h </w:instrText>
            </w:r>
            <w:r>
              <w:rPr>
                <w:noProof/>
              </w:rPr>
            </w:r>
            <w:r>
              <w:rPr>
                <w:noProof/>
              </w:rPr>
              <w:fldChar w:fldCharType="separate"/>
            </w:r>
            <w:r>
              <w:rPr>
                <w:noProof/>
              </w:rPr>
              <w:t>19</w:t>
            </w:r>
            <w:r>
              <w:rPr>
                <w:noProof/>
              </w:rPr>
              <w:fldChar w:fldCharType="end"/>
            </w:r>
          </w:hyperlink>
        </w:p>
        <w:p w14:paraId="0A1283B4" w14:textId="40D2C097" w:rsidR="00E931F1" w:rsidRDefault="00E931F1">
          <w:pPr>
            <w:pStyle w:val="TOC2"/>
            <w:tabs>
              <w:tab w:val="right" w:leader="dot" w:pos="9350"/>
            </w:tabs>
            <w:rPr>
              <w:noProof/>
            </w:rPr>
          </w:pPr>
          <w:hyperlink w:anchor="_Toc229110974" w:history="1">
            <w:r w:rsidRPr="00D02D5A">
              <w:rPr>
                <w:rStyle w:val="Hyperlink"/>
                <w:noProof/>
              </w:rPr>
              <w:t>7.3  Deep Hedging with PINNs</w:t>
            </w:r>
            <w:r>
              <w:rPr>
                <w:noProof/>
              </w:rPr>
              <w:tab/>
            </w:r>
            <w:r>
              <w:rPr>
                <w:noProof/>
              </w:rPr>
              <w:fldChar w:fldCharType="begin"/>
            </w:r>
            <w:r>
              <w:rPr>
                <w:noProof/>
              </w:rPr>
              <w:instrText xml:space="preserve"> PAGEREF _Toc229110974 \h </w:instrText>
            </w:r>
            <w:r>
              <w:rPr>
                <w:noProof/>
              </w:rPr>
            </w:r>
            <w:r>
              <w:rPr>
                <w:noProof/>
              </w:rPr>
              <w:fldChar w:fldCharType="separate"/>
            </w:r>
            <w:r>
              <w:rPr>
                <w:noProof/>
              </w:rPr>
              <w:t>19</w:t>
            </w:r>
            <w:r>
              <w:rPr>
                <w:noProof/>
              </w:rPr>
              <w:fldChar w:fldCharType="end"/>
            </w:r>
          </w:hyperlink>
        </w:p>
        <w:p w14:paraId="03535328" w14:textId="764328A5" w:rsidR="00E931F1" w:rsidRDefault="00E931F1">
          <w:pPr>
            <w:pStyle w:val="TOC2"/>
            <w:tabs>
              <w:tab w:val="right" w:leader="dot" w:pos="9350"/>
            </w:tabs>
            <w:rPr>
              <w:noProof/>
            </w:rPr>
          </w:pPr>
          <w:hyperlink w:anchor="_Toc229110975" w:history="1">
            <w:r w:rsidRPr="00D02D5A">
              <w:rPr>
                <w:rStyle w:val="Hyperlink"/>
                <w:noProof/>
              </w:rPr>
              <w:t>7.4  Fourier Neural Operators (FNO)</w:t>
            </w:r>
            <w:r>
              <w:rPr>
                <w:noProof/>
              </w:rPr>
              <w:tab/>
            </w:r>
            <w:r>
              <w:rPr>
                <w:noProof/>
              </w:rPr>
              <w:fldChar w:fldCharType="begin"/>
            </w:r>
            <w:r>
              <w:rPr>
                <w:noProof/>
              </w:rPr>
              <w:instrText xml:space="preserve"> PAGEREF _Toc229110975 \h </w:instrText>
            </w:r>
            <w:r>
              <w:rPr>
                <w:noProof/>
              </w:rPr>
            </w:r>
            <w:r>
              <w:rPr>
                <w:noProof/>
              </w:rPr>
              <w:fldChar w:fldCharType="separate"/>
            </w:r>
            <w:r>
              <w:rPr>
                <w:noProof/>
              </w:rPr>
              <w:t>19</w:t>
            </w:r>
            <w:r>
              <w:rPr>
                <w:noProof/>
              </w:rPr>
              <w:fldChar w:fldCharType="end"/>
            </w:r>
          </w:hyperlink>
        </w:p>
        <w:p w14:paraId="2EA9D2F0" w14:textId="59B94AC6" w:rsidR="00E931F1" w:rsidRDefault="00E931F1">
          <w:pPr>
            <w:pStyle w:val="TOC2"/>
            <w:tabs>
              <w:tab w:val="right" w:leader="dot" w:pos="9350"/>
            </w:tabs>
            <w:rPr>
              <w:noProof/>
            </w:rPr>
          </w:pPr>
          <w:hyperlink w:anchor="_Toc229110976" w:history="1">
            <w:r w:rsidRPr="00D02D5A">
              <w:rPr>
                <w:rStyle w:val="Hyperlink"/>
                <w:noProof/>
              </w:rPr>
              <w:t>7.5  Multi-Asset and High-Dimensional Extensions</w:t>
            </w:r>
            <w:r>
              <w:rPr>
                <w:noProof/>
              </w:rPr>
              <w:tab/>
            </w:r>
            <w:r>
              <w:rPr>
                <w:noProof/>
              </w:rPr>
              <w:fldChar w:fldCharType="begin"/>
            </w:r>
            <w:r>
              <w:rPr>
                <w:noProof/>
              </w:rPr>
              <w:instrText xml:space="preserve"> PAGEREF _Toc229110976 \h </w:instrText>
            </w:r>
            <w:r>
              <w:rPr>
                <w:noProof/>
              </w:rPr>
            </w:r>
            <w:r>
              <w:rPr>
                <w:noProof/>
              </w:rPr>
              <w:fldChar w:fldCharType="separate"/>
            </w:r>
            <w:r>
              <w:rPr>
                <w:noProof/>
              </w:rPr>
              <w:t>20</w:t>
            </w:r>
            <w:r>
              <w:rPr>
                <w:noProof/>
              </w:rPr>
              <w:fldChar w:fldCharType="end"/>
            </w:r>
          </w:hyperlink>
        </w:p>
        <w:p w14:paraId="440E1DE0" w14:textId="3CA5EBAE" w:rsidR="00E931F1" w:rsidRDefault="00E931F1">
          <w:pPr>
            <w:pStyle w:val="TOC2"/>
            <w:tabs>
              <w:tab w:val="right" w:leader="dot" w:pos="9350"/>
            </w:tabs>
            <w:rPr>
              <w:noProof/>
            </w:rPr>
          </w:pPr>
          <w:hyperlink w:anchor="_Toc229110977" w:history="1">
            <w:r w:rsidRPr="00D02D5A">
              <w:rPr>
                <w:rStyle w:val="Hyperlink"/>
                <w:noProof/>
              </w:rPr>
              <w:t>7.6  Implied Volatility Surface Recovery (Inverse PINN)</w:t>
            </w:r>
            <w:r>
              <w:rPr>
                <w:noProof/>
              </w:rPr>
              <w:tab/>
            </w:r>
            <w:r>
              <w:rPr>
                <w:noProof/>
              </w:rPr>
              <w:fldChar w:fldCharType="begin"/>
            </w:r>
            <w:r>
              <w:rPr>
                <w:noProof/>
              </w:rPr>
              <w:instrText xml:space="preserve"> PAGEREF _Toc229110977 \h </w:instrText>
            </w:r>
            <w:r>
              <w:rPr>
                <w:noProof/>
              </w:rPr>
            </w:r>
            <w:r>
              <w:rPr>
                <w:noProof/>
              </w:rPr>
              <w:fldChar w:fldCharType="separate"/>
            </w:r>
            <w:r>
              <w:rPr>
                <w:noProof/>
              </w:rPr>
              <w:t>20</w:t>
            </w:r>
            <w:r>
              <w:rPr>
                <w:noProof/>
              </w:rPr>
              <w:fldChar w:fldCharType="end"/>
            </w:r>
          </w:hyperlink>
        </w:p>
        <w:p w14:paraId="6C9CFF4D" w14:textId="302B4BA6" w:rsidR="00E931F1" w:rsidRDefault="00E931F1">
          <w:pPr>
            <w:pStyle w:val="TOC2"/>
            <w:tabs>
              <w:tab w:val="right" w:leader="dot" w:pos="9350"/>
            </w:tabs>
            <w:rPr>
              <w:noProof/>
            </w:rPr>
          </w:pPr>
          <w:hyperlink w:anchor="_Toc229110978" w:history="1">
            <w:r w:rsidRPr="00D02D5A">
              <w:rPr>
                <w:rStyle w:val="Hyperlink"/>
                <w:noProof/>
              </w:rPr>
              <w:t>7.7  Bayesian PINNs (B-PINNs) for Uncertainty Quantification</w:t>
            </w:r>
            <w:r>
              <w:rPr>
                <w:noProof/>
              </w:rPr>
              <w:tab/>
            </w:r>
            <w:r>
              <w:rPr>
                <w:noProof/>
              </w:rPr>
              <w:fldChar w:fldCharType="begin"/>
            </w:r>
            <w:r>
              <w:rPr>
                <w:noProof/>
              </w:rPr>
              <w:instrText xml:space="preserve"> PAGEREF _Toc229110978 \h </w:instrText>
            </w:r>
            <w:r>
              <w:rPr>
                <w:noProof/>
              </w:rPr>
            </w:r>
            <w:r>
              <w:rPr>
                <w:noProof/>
              </w:rPr>
              <w:fldChar w:fldCharType="separate"/>
            </w:r>
            <w:r>
              <w:rPr>
                <w:noProof/>
              </w:rPr>
              <w:t>20</w:t>
            </w:r>
            <w:r>
              <w:rPr>
                <w:noProof/>
              </w:rPr>
              <w:fldChar w:fldCharType="end"/>
            </w:r>
          </w:hyperlink>
        </w:p>
        <w:p w14:paraId="5DFB2083" w14:textId="4AEB9E37" w:rsidR="00E931F1" w:rsidRDefault="00E931F1">
          <w:pPr>
            <w:pStyle w:val="TOC2"/>
            <w:tabs>
              <w:tab w:val="right" w:leader="dot" w:pos="9350"/>
            </w:tabs>
            <w:rPr>
              <w:noProof/>
            </w:rPr>
          </w:pPr>
          <w:hyperlink w:anchor="_Toc229110979" w:history="1">
            <w:r w:rsidRPr="00D02D5A">
              <w:rPr>
                <w:rStyle w:val="Hyperlink"/>
                <w:noProof/>
              </w:rPr>
              <w:t>7.8  Real-Time Production Deployment</w:t>
            </w:r>
            <w:r>
              <w:rPr>
                <w:noProof/>
              </w:rPr>
              <w:tab/>
            </w:r>
            <w:r>
              <w:rPr>
                <w:noProof/>
              </w:rPr>
              <w:fldChar w:fldCharType="begin"/>
            </w:r>
            <w:r>
              <w:rPr>
                <w:noProof/>
              </w:rPr>
              <w:instrText xml:space="preserve"> PAGEREF _Toc229110979 \h </w:instrText>
            </w:r>
            <w:r>
              <w:rPr>
                <w:noProof/>
              </w:rPr>
            </w:r>
            <w:r>
              <w:rPr>
                <w:noProof/>
              </w:rPr>
              <w:fldChar w:fldCharType="separate"/>
            </w:r>
            <w:r>
              <w:rPr>
                <w:noProof/>
              </w:rPr>
              <w:t>20</w:t>
            </w:r>
            <w:r>
              <w:rPr>
                <w:noProof/>
              </w:rPr>
              <w:fldChar w:fldCharType="end"/>
            </w:r>
          </w:hyperlink>
        </w:p>
        <w:p w14:paraId="061B1F07" w14:textId="39B42C2E" w:rsidR="00E931F1" w:rsidRDefault="00E931F1">
          <w:pPr>
            <w:pStyle w:val="TOC1"/>
            <w:tabs>
              <w:tab w:val="right" w:leader="dot" w:pos="9350"/>
            </w:tabs>
            <w:rPr>
              <w:noProof/>
            </w:rPr>
          </w:pPr>
          <w:hyperlink w:anchor="_Toc229110980" w:history="1">
            <w:r w:rsidRPr="00D02D5A">
              <w:rPr>
                <w:rStyle w:val="Hyperlink"/>
                <w:noProof/>
              </w:rPr>
              <w:t>8. References</w:t>
            </w:r>
            <w:r>
              <w:rPr>
                <w:noProof/>
              </w:rPr>
              <w:tab/>
            </w:r>
            <w:r>
              <w:rPr>
                <w:noProof/>
              </w:rPr>
              <w:fldChar w:fldCharType="begin"/>
            </w:r>
            <w:r>
              <w:rPr>
                <w:noProof/>
              </w:rPr>
              <w:instrText xml:space="preserve"> PAGEREF _Toc229110980 \h </w:instrText>
            </w:r>
            <w:r>
              <w:rPr>
                <w:noProof/>
              </w:rPr>
            </w:r>
            <w:r>
              <w:rPr>
                <w:noProof/>
              </w:rPr>
              <w:fldChar w:fldCharType="separate"/>
            </w:r>
            <w:r>
              <w:rPr>
                <w:noProof/>
              </w:rPr>
              <w:t>22</w:t>
            </w:r>
            <w:r>
              <w:rPr>
                <w:noProof/>
              </w:rPr>
              <w:fldChar w:fldCharType="end"/>
            </w:r>
          </w:hyperlink>
        </w:p>
        <w:p w14:paraId="7E511121" w14:textId="5982166D" w:rsidR="00332D3C" w:rsidRDefault="00490B04">
          <w:r>
            <w:fldChar w:fldCharType="end"/>
          </w:r>
        </w:p>
      </w:sdtContent>
    </w:sdt>
    <w:p w14:paraId="7E511122" w14:textId="77777777" w:rsidR="00332D3C" w:rsidRDefault="00490B04">
      <w:r>
        <w:br w:type="page"/>
      </w:r>
    </w:p>
    <w:p w14:paraId="7E511123" w14:textId="77777777" w:rsidR="00332D3C" w:rsidRDefault="00332D3C">
      <w:pPr>
        <w:sectPr w:rsidR="00332D3C">
          <w:headerReference w:type="default" r:id="rId7"/>
          <w:footerReference w:type="default" r:id="rId8"/>
          <w:pgSz w:w="12240" w:h="15840"/>
          <w:pgMar w:top="1440" w:right="1440" w:bottom="1440" w:left="1440" w:header="708" w:footer="708" w:gutter="0"/>
          <w:cols w:space="720"/>
          <w:docGrid w:linePitch="360"/>
        </w:sectPr>
      </w:pPr>
    </w:p>
    <w:p w14:paraId="7E511124" w14:textId="77777777" w:rsidR="00332D3C" w:rsidRDefault="00490B04">
      <w:pPr>
        <w:pStyle w:val="Heading1"/>
      </w:pPr>
      <w:bookmarkStart w:id="1" w:name="_Toc229110942"/>
      <w:r>
        <w:lastRenderedPageBreak/>
        <w:t>1. Abstract</w:t>
      </w:r>
      <w:bookmarkEnd w:id="1"/>
    </w:p>
    <w:p w14:paraId="7E511125" w14:textId="77777777" w:rsidR="00332D3C" w:rsidRDefault="00332D3C">
      <w:pPr>
        <w:pBdr>
          <w:bottom w:val="single" w:sz="6" w:space="1" w:color="2E75B6"/>
        </w:pBdr>
        <w:spacing w:after="160"/>
      </w:pPr>
    </w:p>
    <w:p w14:paraId="7E511126" w14:textId="77777777" w:rsidR="00332D3C" w:rsidRDefault="00490B04">
      <w:pPr>
        <w:spacing w:after="160" w:line="320" w:lineRule="auto"/>
      </w:pPr>
      <w:r>
        <w:rPr>
          <w:color w:val="1A1A2E"/>
        </w:rPr>
        <w:t>This project investigates the application of Physics-Informed Neural Networks (PINNs) to the problem of European call option pricing under the Black-Scholes framework. Traditional numerical methods for solving the Black-Scholes Partial Differential Equation (PDE) suffer from the curse of dimensionality, becoming computationally infeasible in high-dimensional asset spaces. PINNs offer a mesh-free, data-efficient alternative by encoding the governing differential equations directly into the neural network's l</w:t>
      </w:r>
      <w:r>
        <w:rPr>
          <w:color w:val="1A1A2E"/>
        </w:rPr>
        <w:t>oss function.</w:t>
      </w:r>
    </w:p>
    <w:p w14:paraId="7E511127" w14:textId="77777777" w:rsidR="00332D3C" w:rsidRDefault="00490B04">
      <w:pPr>
        <w:spacing w:after="160" w:line="320" w:lineRule="auto"/>
      </w:pPr>
      <w:r>
        <w:rPr>
          <w:color w:val="1A1A2E"/>
        </w:rPr>
        <w:t>Building upon the theoretical foundations of De Ryck and Mishra (2022), who established rigorous error bounds for PINNs approximating Kolmogorov PDEs — a class that includes the Black-Scholes equation — this project extends their analysis to a practical, data-driven setting. Specifically, a PINN is trained not on fabricated uniform random inputs, but on real historical return data from 50 NSE (National Stock Exchange of India) stocks spanning 2008 to 2024. From these returns, annualised rolling volatilities</w:t>
      </w:r>
      <w:r>
        <w:rPr>
          <w:color w:val="1A1A2E"/>
        </w:rPr>
        <w:t xml:space="preserve"> and reconstructed price paths serve as the true distribution of collocation points.</w:t>
      </w:r>
    </w:p>
    <w:p w14:paraId="7E511128" w14:textId="77777777" w:rsidR="00332D3C" w:rsidRDefault="00490B04">
      <w:pPr>
        <w:spacing w:after="160" w:line="320" w:lineRule="auto"/>
      </w:pPr>
      <w:r>
        <w:rPr>
          <w:color w:val="1A1A2E"/>
        </w:rPr>
        <w:t>The trained PINN simultaneously satisfies all Black-Scholes boundary conditions and the interior PDE residual, enabling it to function as a universal pricing engine: given any (S, t, σ) triplet, it instantly outputs the corresponding option price without re-solving the PDE. Results demonstrate excellent agreement with the analytical Black-Scholes formula across a wide range of stock prices, maturities, and real-world volatility regimes.</w:t>
      </w:r>
    </w:p>
    <w:p w14:paraId="7E511129" w14:textId="77777777" w:rsidR="00332D3C" w:rsidRDefault="00332D3C"/>
    <w:p w14:paraId="7E51112A" w14:textId="77777777" w:rsidR="00332D3C" w:rsidRDefault="00490B04">
      <w:pPr>
        <w:pStyle w:val="Heading1"/>
      </w:pPr>
      <w:bookmarkStart w:id="2" w:name="_Toc229110943"/>
      <w:r>
        <w:t>2. Introduction</w:t>
      </w:r>
      <w:bookmarkEnd w:id="2"/>
    </w:p>
    <w:p w14:paraId="7E51112B" w14:textId="77777777" w:rsidR="00332D3C" w:rsidRDefault="00332D3C">
      <w:pPr>
        <w:pBdr>
          <w:bottom w:val="single" w:sz="6" w:space="1" w:color="2E75B6"/>
        </w:pBdr>
        <w:spacing w:after="160"/>
      </w:pPr>
    </w:p>
    <w:p w14:paraId="7E51112C" w14:textId="5F5B51BB" w:rsidR="00332D3C" w:rsidRDefault="00490B04">
      <w:pPr>
        <w:pStyle w:val="Heading2"/>
      </w:pPr>
      <w:bookmarkStart w:id="3" w:name="_Toc229110944"/>
      <w:r>
        <w:t xml:space="preserve">2.1 </w:t>
      </w:r>
      <w:r>
        <w:t>Background and Motivation</w:t>
      </w:r>
      <w:bookmarkEnd w:id="3"/>
    </w:p>
    <w:p w14:paraId="7E51112D" w14:textId="77777777" w:rsidR="00332D3C" w:rsidRDefault="00490B04">
      <w:pPr>
        <w:spacing w:after="160" w:line="320" w:lineRule="auto"/>
      </w:pPr>
      <w:r>
        <w:rPr>
          <w:color w:val="1A1A2E"/>
        </w:rPr>
        <w:t>Option pricing is a cornerstone of modern quantitative finance. A European call option grants its holder the right — but not the obligation — to purchase an underlying asset at a predetermined strike price K on the expiry date T. Accurate pricing of such instruments is critical for risk management, hedging, and portfolio construction.</w:t>
      </w:r>
    </w:p>
    <w:p w14:paraId="7E51112E" w14:textId="77777777" w:rsidR="00332D3C" w:rsidRDefault="00490B04">
      <w:pPr>
        <w:spacing w:after="160" w:line="320" w:lineRule="auto"/>
      </w:pPr>
      <w:r>
        <w:rPr>
          <w:color w:val="1A1A2E"/>
        </w:rPr>
        <w:t xml:space="preserve">The Black-Scholes (B-S) model provides a closed-form solution for European options under geometric Brownian motion dynamics. However, in practice, practitioners must price options across a continuous surface of (S, t, σ) triplets, compute sensitivities (Greeks), and handle </w:t>
      </w:r>
      <w:r>
        <w:rPr>
          <w:color w:val="1A1A2E"/>
        </w:rPr>
        <w:lastRenderedPageBreak/>
        <w:t>multi-asset baskets — settings where the analytical formula either does not apply or is computationally expensive to evaluate at scale.</w:t>
      </w:r>
    </w:p>
    <w:p w14:paraId="7E51112F" w14:textId="4D5B5A7C" w:rsidR="00332D3C" w:rsidRDefault="00490B04">
      <w:pPr>
        <w:spacing w:after="160" w:line="320" w:lineRule="auto"/>
      </w:pPr>
      <w:r>
        <w:rPr>
          <w:color w:val="1A1A2E"/>
        </w:rPr>
        <w:t>Classical numerical approaches — finite difference methods (FDM) and finite element methods (FEM) — discretise the PDE over a mesh. While accurate, these methods scale exponentially with the number of spatial dimensions and require a full re</w:t>
      </w:r>
      <w:r w:rsidR="007178FE">
        <w:rPr>
          <w:color w:val="1A1A2E"/>
        </w:rPr>
        <w:t>-</w:t>
      </w:r>
      <w:r>
        <w:rPr>
          <w:color w:val="1A1A2E"/>
        </w:rPr>
        <w:t>computation whenever parameters change. PINNs sidestep both limitations.</w:t>
      </w:r>
    </w:p>
    <w:p w14:paraId="7E511130" w14:textId="6A071094" w:rsidR="00332D3C" w:rsidRDefault="004F5F1F">
      <w:pPr>
        <w:pStyle w:val="Heading2"/>
      </w:pPr>
      <w:bookmarkStart w:id="4" w:name="_Toc229110945"/>
      <w:r>
        <w:t>2.2 Kolmogorov</w:t>
      </w:r>
      <w:r w:rsidR="00490B04">
        <w:t xml:space="preserve"> PDEs and the Black-Scholes Equation</w:t>
      </w:r>
      <w:bookmarkEnd w:id="4"/>
    </w:p>
    <w:p w14:paraId="7E511131" w14:textId="77777777" w:rsidR="00332D3C" w:rsidRDefault="00490B04">
      <w:pPr>
        <w:spacing w:after="160" w:line="320" w:lineRule="auto"/>
      </w:pPr>
      <w:r>
        <w:rPr>
          <w:color w:val="1A1A2E"/>
        </w:rPr>
        <w:t>The theoretical basis of this project is rooted in the class of Kolmogorov equations, linear parabolic PDEs of the general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2D3C" w14:paraId="7E511134" w14:textId="77777777">
        <w:tblPrEx>
          <w:tblCellMar>
            <w:top w:w="0" w:type="dxa"/>
            <w:bottom w:w="0" w:type="dxa"/>
          </w:tblCellMar>
        </w:tblPrEx>
        <w:tc>
          <w:tcPr>
            <w:tcW w:w="9360" w:type="dxa"/>
            <w:tcBorders>
              <w:top w:val="single" w:sz="1" w:space="0" w:color="A0C4E8"/>
              <w:left w:val="single" w:sz="1" w:space="0" w:color="A0C4E8"/>
              <w:bottom w:val="single" w:sz="1" w:space="0" w:color="A0C4E8"/>
              <w:right w:val="single" w:sz="1" w:space="0" w:color="A0C4E8"/>
            </w:tcBorders>
            <w:shd w:val="clear" w:color="auto" w:fill="EBF3FB"/>
            <w:tcMar>
              <w:top w:w="160" w:type="dxa"/>
              <w:left w:w="200" w:type="dxa"/>
              <w:bottom w:w="160" w:type="dxa"/>
              <w:right w:w="200" w:type="dxa"/>
            </w:tcMar>
          </w:tcPr>
          <w:p w14:paraId="7E511132" w14:textId="77777777" w:rsidR="00332D3C" w:rsidRDefault="00490B04">
            <w:pPr>
              <w:spacing w:after="80"/>
            </w:pPr>
            <w:r>
              <w:rPr>
                <w:b/>
                <w:bCs/>
                <w:color w:val="2E75B6"/>
              </w:rPr>
              <w:t>Kolmogorov PDE (General Form)</w:t>
            </w:r>
          </w:p>
          <w:p w14:paraId="7E511133" w14:textId="574F8AE9" w:rsidR="00332D3C" w:rsidRDefault="007178FE">
            <w:r w:rsidRPr="007178FE">
              <w:rPr>
                <w:color w:val="1A1A2E"/>
                <w:sz w:val="21"/>
                <w:szCs w:val="21"/>
              </w:rPr>
              <w:drawing>
                <wp:inline distT="0" distB="0" distL="0" distR="0" wp14:anchorId="2190EB5B" wp14:editId="4E48DF95">
                  <wp:extent cx="3581400" cy="396240"/>
                  <wp:effectExtent l="0" t="0" r="0" b="3810"/>
                  <wp:docPr id="92757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70101" name=""/>
                          <pic:cNvPicPr/>
                        </pic:nvPicPr>
                        <pic:blipFill>
                          <a:blip r:embed="rId9"/>
                          <a:stretch>
                            <a:fillRect/>
                          </a:stretch>
                        </pic:blipFill>
                        <pic:spPr>
                          <a:xfrm>
                            <a:off x="0" y="0"/>
                            <a:ext cx="3581710" cy="396274"/>
                          </a:xfrm>
                          <a:prstGeom prst="rect">
                            <a:avLst/>
                          </a:prstGeom>
                        </pic:spPr>
                      </pic:pic>
                    </a:graphicData>
                  </a:graphic>
                </wp:inline>
              </w:drawing>
            </w:r>
          </w:p>
        </w:tc>
      </w:tr>
    </w:tbl>
    <w:p w14:paraId="7E511135" w14:textId="77777777" w:rsidR="00332D3C" w:rsidRDefault="00332D3C"/>
    <w:p w14:paraId="7E511136" w14:textId="29EEC899" w:rsidR="00332D3C" w:rsidRDefault="00490B04">
      <w:pPr>
        <w:spacing w:after="160" w:line="320" w:lineRule="auto"/>
        <w:rPr>
          <w:color w:val="1A1A2E"/>
        </w:rPr>
      </w:pPr>
      <w:r>
        <w:rPr>
          <w:color w:val="1A1A2E"/>
        </w:rPr>
        <w:t>The Black-Scholes equation is a special case obtained by setting μ and σ to be linear functions. For a single underlying asset S with constant volatility σ, risk-free rate r, and strike K:</w:t>
      </w:r>
    </w:p>
    <w:p w14:paraId="1792170E" w14:textId="107388E1" w:rsidR="00017510" w:rsidRDefault="00017510">
      <w:pPr>
        <w:spacing w:after="160" w:line="320" w:lineRule="auto"/>
      </w:pPr>
      <w:r w:rsidRPr="00017510">
        <w:rPr>
          <w:sz w:val="24"/>
          <w:szCs w:val="24"/>
        </w:rPr>
        <w:drawing>
          <wp:anchor distT="0" distB="0" distL="114300" distR="114300" simplePos="0" relativeHeight="251658240" behindDoc="0" locked="0" layoutInCell="1" allowOverlap="1" wp14:anchorId="71529342" wp14:editId="176CAE8B">
            <wp:simplePos x="0" y="0"/>
            <wp:positionH relativeFrom="margin">
              <wp:posOffset>1133475</wp:posOffset>
            </wp:positionH>
            <wp:positionV relativeFrom="paragraph">
              <wp:posOffset>323215</wp:posOffset>
            </wp:positionV>
            <wp:extent cx="3672840" cy="624840"/>
            <wp:effectExtent l="0" t="0" r="3810" b="3810"/>
            <wp:wrapTopAndBottom/>
            <wp:docPr id="83093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30149" name=""/>
                    <pic:cNvPicPr/>
                  </pic:nvPicPr>
                  <pic:blipFill>
                    <a:blip r:embed="rId10">
                      <a:extLst>
                        <a:ext uri="{28A0092B-C50C-407E-A947-70E740481C1C}">
                          <a14:useLocalDpi xmlns:a14="http://schemas.microsoft.com/office/drawing/2010/main" val="0"/>
                        </a:ext>
                      </a:extLst>
                    </a:blip>
                    <a:stretch>
                      <a:fillRect/>
                    </a:stretch>
                  </pic:blipFill>
                  <pic:spPr>
                    <a:xfrm>
                      <a:off x="0" y="0"/>
                      <a:ext cx="3672840" cy="624840"/>
                    </a:xfrm>
                    <a:prstGeom prst="rect">
                      <a:avLst/>
                    </a:prstGeom>
                  </pic:spPr>
                </pic:pic>
              </a:graphicData>
            </a:graphic>
          </wp:anchor>
        </w:drawing>
      </w:r>
      <w:r w:rsidRPr="00017510">
        <w:rPr>
          <w:b/>
          <w:bCs/>
          <w:color w:val="4472C4" w:themeColor="accent1"/>
          <w:sz w:val="24"/>
          <w:szCs w:val="24"/>
        </w:rPr>
        <w:t>Black Scholes Equation</w:t>
      </w:r>
      <w:r>
        <w:rPr>
          <w:b/>
          <w:bCs/>
          <w:color w:val="4472C4" w:themeColor="accent1"/>
          <w:sz w:val="30"/>
          <w:szCs w:val="30"/>
        </w:rPr>
        <w:t>:</w:t>
      </w:r>
    </w:p>
    <w:p w14:paraId="7E51113A" w14:textId="0B33BB24" w:rsidR="00332D3C" w:rsidRDefault="00332D3C"/>
    <w:p w14:paraId="7E51113B" w14:textId="373455C0" w:rsidR="00332D3C" w:rsidRDefault="00490B04">
      <w:pPr>
        <w:spacing w:after="160" w:line="320" w:lineRule="auto"/>
      </w:pPr>
      <w:r>
        <w:rPr>
          <w:color w:val="1A1A2E"/>
        </w:rPr>
        <w:t xml:space="preserve">De Ryck and Mishra (2022) established that PINNs can approximate solutions of this class of PDEs with rigorous error bounds, and crucially, the network size and training sample count grow only </w:t>
      </w:r>
      <w:r w:rsidR="00017510">
        <w:rPr>
          <w:color w:val="1A1A2E"/>
        </w:rPr>
        <w:t>polynomial</w:t>
      </w:r>
      <w:r>
        <w:rPr>
          <w:color w:val="1A1A2E"/>
        </w:rPr>
        <w:t xml:space="preserve"> with dimension — overcoming the curse of dimensionality.</w:t>
      </w:r>
    </w:p>
    <w:p w14:paraId="7E51113C" w14:textId="77777777" w:rsidR="00332D3C" w:rsidRDefault="00332D3C"/>
    <w:p w14:paraId="50A6F933" w14:textId="77777777" w:rsidR="007178FE" w:rsidRDefault="007178FE"/>
    <w:p w14:paraId="600362B8" w14:textId="77777777" w:rsidR="007178FE" w:rsidRDefault="007178FE"/>
    <w:p w14:paraId="325771F7" w14:textId="77777777" w:rsidR="007178FE" w:rsidRDefault="007178FE"/>
    <w:p w14:paraId="75628CA9" w14:textId="77777777" w:rsidR="007178FE" w:rsidRDefault="007178FE"/>
    <w:p w14:paraId="0D2F3D9D" w14:textId="77777777" w:rsidR="007178FE" w:rsidRDefault="007178FE"/>
    <w:p w14:paraId="2312B114" w14:textId="77777777" w:rsidR="007178FE" w:rsidRDefault="007178FE"/>
    <w:p w14:paraId="6BF4E33C" w14:textId="77777777" w:rsidR="007178FE" w:rsidRDefault="007178FE"/>
    <w:p w14:paraId="62CE6E8B" w14:textId="77777777" w:rsidR="007178FE" w:rsidRDefault="007178FE"/>
    <w:p w14:paraId="26B5AA77" w14:textId="77777777" w:rsidR="007178FE" w:rsidRDefault="007178FE"/>
    <w:p w14:paraId="69BC5181" w14:textId="03D361CB" w:rsidR="00017510" w:rsidRDefault="00490B04" w:rsidP="007178FE">
      <w:pPr>
        <w:pStyle w:val="Heading1"/>
      </w:pPr>
      <w:bookmarkStart w:id="5" w:name="_Toc229110946"/>
      <w:r>
        <w:lastRenderedPageBreak/>
        <w:t>3. Theoretical Framework from De Ryck &amp; Mishra (2022)</w:t>
      </w:r>
      <w:bookmarkStart w:id="6" w:name="_Toc229110947"/>
      <w:bookmarkEnd w:id="5"/>
    </w:p>
    <w:p w14:paraId="7E51113F" w14:textId="4A819EF7" w:rsidR="00332D3C" w:rsidRDefault="00490B04">
      <w:pPr>
        <w:pStyle w:val="Heading2"/>
      </w:pPr>
      <w:r>
        <w:t>3</w:t>
      </w:r>
      <w:r>
        <w:t xml:space="preserve">.1 </w:t>
      </w:r>
      <w:r>
        <w:t>The Three Fundamental Questions</w:t>
      </w:r>
      <w:bookmarkEnd w:id="6"/>
    </w:p>
    <w:p w14:paraId="7E511140" w14:textId="77777777" w:rsidR="00332D3C" w:rsidRDefault="00490B04">
      <w:pPr>
        <w:spacing w:after="160" w:line="320" w:lineRule="auto"/>
        <w:rPr>
          <w:color w:val="1A1A2E"/>
        </w:rPr>
      </w:pPr>
      <w:r>
        <w:rPr>
          <w:color w:val="1A1A2E"/>
        </w:rPr>
        <w:t>The reference paper addresses three core theoretical questions that underpin the reliability of PINNs:</w:t>
      </w:r>
    </w:p>
    <w:p w14:paraId="1B064F38" w14:textId="77777777" w:rsidR="00017510" w:rsidRDefault="00017510">
      <w:pPr>
        <w:spacing w:after="160" w:line="3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32D3C" w14:paraId="7E51114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511141" w14:textId="77777777" w:rsidR="00332D3C" w:rsidRDefault="00490B04">
            <w:r>
              <w:rPr>
                <w:b/>
                <w:bCs/>
                <w:color w:val="1B3A6B"/>
                <w:sz w:val="21"/>
                <w:szCs w:val="21"/>
              </w:rPr>
              <w:t>Question</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511142" w14:textId="77777777" w:rsidR="00332D3C" w:rsidRDefault="00490B04">
            <w:r>
              <w:rPr>
                <w:b/>
                <w:bCs/>
                <w:color w:val="1B3A6B"/>
                <w:sz w:val="21"/>
                <w:szCs w:val="21"/>
              </w:rPr>
              <w:t>Precise Meaning</w:t>
            </w:r>
          </w:p>
        </w:tc>
      </w:tr>
      <w:tr w:rsidR="00332D3C" w14:paraId="7E51114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44" w14:textId="77777777" w:rsidR="00332D3C" w:rsidRDefault="00490B04">
            <w:r>
              <w:rPr>
                <w:color w:val="1A1A2E"/>
                <w:sz w:val="20"/>
                <w:szCs w:val="20"/>
              </w:rPr>
              <w:t>Q1 — Residual Smallness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45" w14:textId="77777777" w:rsidR="00332D3C" w:rsidRDefault="00490B04">
            <w:r>
              <w:rPr>
                <w:color w:val="1A1A2E"/>
                <w:sz w:val="20"/>
                <w:szCs w:val="20"/>
              </w:rPr>
              <w:t>Does there exist a neural network whose PINN residual (generalization error) can be made arbitrarily small?</w:t>
            </w:r>
          </w:p>
        </w:tc>
      </w:tr>
      <w:tr w:rsidR="00332D3C" w14:paraId="7E5111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47" w14:textId="77777777" w:rsidR="00332D3C" w:rsidRDefault="00490B04">
            <w:r>
              <w:rPr>
                <w:color w:val="1A1A2E"/>
                <w:sz w:val="20"/>
                <w:szCs w:val="20"/>
              </w:rPr>
              <w:t>Q2 — Total Error Bound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48" w14:textId="77777777" w:rsidR="00332D3C" w:rsidRDefault="00490B04">
            <w:r>
              <w:rPr>
                <w:color w:val="1A1A2E"/>
                <w:sz w:val="20"/>
                <w:szCs w:val="20"/>
              </w:rPr>
              <w:t>If the generalization error is small, is the total approximation error (‖û – u‖) also small?</w:t>
            </w:r>
          </w:p>
        </w:tc>
      </w:tr>
      <w:tr w:rsidR="00332D3C" w14:paraId="7E51114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4A" w14:textId="77777777" w:rsidR="00332D3C" w:rsidRDefault="00490B04">
            <w:r>
              <w:rPr>
                <w:color w:val="1A1A2E"/>
                <w:sz w:val="20"/>
                <w:szCs w:val="20"/>
              </w:rPr>
              <w:t>Q3 — Training→Gen Gap</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4B" w14:textId="77777777" w:rsidR="00332D3C" w:rsidRDefault="00490B04">
            <w:r>
              <w:rPr>
                <w:color w:val="1A1A2E"/>
                <w:sz w:val="20"/>
                <w:szCs w:val="20"/>
              </w:rPr>
              <w:t>If the training error is small and sufficiently many random points are used, is the generalization error proportionately small?</w:t>
            </w:r>
          </w:p>
        </w:tc>
      </w:tr>
    </w:tbl>
    <w:p w14:paraId="7E51114D" w14:textId="77777777" w:rsidR="00332D3C" w:rsidRDefault="00332D3C"/>
    <w:p w14:paraId="7E51114E" w14:textId="77777777" w:rsidR="00332D3C" w:rsidRDefault="00490B04">
      <w:pPr>
        <w:spacing w:after="160" w:line="320" w:lineRule="auto"/>
      </w:pPr>
      <w:r>
        <w:rPr>
          <w:color w:val="1A1A2E"/>
        </w:rPr>
        <w:t>The paper provides affirmative answers to all three questions for Kolmogorov PDEs, using a construction based on Dynkin's formula, stability estimates, and Hoeffding-type concentration inequalities.</w:t>
      </w:r>
    </w:p>
    <w:p w14:paraId="7E51114F" w14:textId="788FB1A7" w:rsidR="00332D3C" w:rsidRDefault="00490B04">
      <w:pPr>
        <w:pStyle w:val="Heading2"/>
      </w:pPr>
      <w:bookmarkStart w:id="7" w:name="_Toc229110948"/>
      <w:r>
        <w:t xml:space="preserve">3.2 </w:t>
      </w:r>
      <w:r>
        <w:t>Dynkin's Formula and the SDE Connection</w:t>
      </w:r>
      <w:bookmarkEnd w:id="7"/>
    </w:p>
    <w:p w14:paraId="7E511150" w14:textId="77777777" w:rsidR="00332D3C" w:rsidRDefault="00490B04">
      <w:pPr>
        <w:spacing w:after="160" w:line="320" w:lineRule="auto"/>
      </w:pPr>
      <w:r>
        <w:rPr>
          <w:color w:val="1A1A2E"/>
        </w:rPr>
        <w:t>A key insight is the use of Dynkin's formula, which connects the Kolmogorov PDE to an underlying Itô Stochastic Differential Equation (SDE):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32D3C" w14:paraId="7E511153" w14:textId="77777777">
        <w:tblPrEx>
          <w:tblCellMar>
            <w:top w:w="0" w:type="dxa"/>
            <w:bottom w:w="0" w:type="dxa"/>
          </w:tblCellMar>
        </w:tblPrEx>
        <w:tc>
          <w:tcPr>
            <w:tcW w:w="9360" w:type="dxa"/>
            <w:tcBorders>
              <w:top w:val="single" w:sz="1" w:space="0" w:color="A0C4E8"/>
              <w:left w:val="single" w:sz="1" w:space="0" w:color="A0C4E8"/>
              <w:bottom w:val="single" w:sz="1" w:space="0" w:color="A0C4E8"/>
              <w:right w:val="single" w:sz="1" w:space="0" w:color="A0C4E8"/>
            </w:tcBorders>
            <w:shd w:val="clear" w:color="auto" w:fill="EBF3FB"/>
            <w:tcMar>
              <w:top w:w="160" w:type="dxa"/>
              <w:left w:w="200" w:type="dxa"/>
              <w:bottom w:w="160" w:type="dxa"/>
              <w:right w:w="200" w:type="dxa"/>
            </w:tcMar>
          </w:tcPr>
          <w:p w14:paraId="7E511151" w14:textId="77777777" w:rsidR="00332D3C" w:rsidRDefault="00490B04">
            <w:pPr>
              <w:spacing w:after="80"/>
            </w:pPr>
            <w:r>
              <w:rPr>
                <w:b/>
                <w:bCs/>
                <w:color w:val="2E75B6"/>
              </w:rPr>
              <w:t>Dynkin's Formula</w:t>
            </w:r>
          </w:p>
          <w:p w14:paraId="7E511152" w14:textId="790BE889" w:rsidR="00332D3C" w:rsidRDefault="00A57451">
            <w:r w:rsidRPr="00A57451">
              <w:rPr>
                <w:color w:val="1A1A2E"/>
                <w:sz w:val="21"/>
                <w:szCs w:val="21"/>
              </w:rPr>
              <w:drawing>
                <wp:inline distT="0" distB="0" distL="0" distR="0" wp14:anchorId="58E4C029" wp14:editId="5AACD06A">
                  <wp:extent cx="5943600" cy="581660"/>
                  <wp:effectExtent l="0" t="0" r="0" b="8890"/>
                  <wp:docPr id="119317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76329" name=""/>
                          <pic:cNvPicPr/>
                        </pic:nvPicPr>
                        <pic:blipFill>
                          <a:blip r:embed="rId11"/>
                          <a:stretch>
                            <a:fillRect/>
                          </a:stretch>
                        </pic:blipFill>
                        <pic:spPr>
                          <a:xfrm>
                            <a:off x="0" y="0"/>
                            <a:ext cx="5943600" cy="581660"/>
                          </a:xfrm>
                          <a:prstGeom prst="rect">
                            <a:avLst/>
                          </a:prstGeom>
                        </pic:spPr>
                      </pic:pic>
                    </a:graphicData>
                  </a:graphic>
                </wp:inline>
              </w:drawing>
            </w:r>
          </w:p>
        </w:tc>
      </w:tr>
    </w:tbl>
    <w:p w14:paraId="7E511154" w14:textId="77777777" w:rsidR="00332D3C" w:rsidRDefault="00332D3C"/>
    <w:p w14:paraId="7E511155" w14:textId="77777777" w:rsidR="00332D3C" w:rsidRDefault="00490B04">
      <w:pPr>
        <w:spacing w:after="160" w:line="320" w:lineRule="auto"/>
        <w:rPr>
          <w:color w:val="1A1A2E"/>
        </w:rPr>
      </w:pPr>
      <w:r>
        <w:rPr>
          <w:color w:val="1A1A2E"/>
        </w:rPr>
        <w:t>This representation formula allows the construction of neural networks that emulate the expectation operator via Monte Carlo sampling, rather than solving the PDE directly. The resulting network has size that grows polynomially in dimension when μ and σ are constant (Theorem 3 of the reference paper), thus avoiding the curse of dimensionality.</w:t>
      </w:r>
    </w:p>
    <w:p w14:paraId="3374B8AE" w14:textId="77777777" w:rsidR="00A57451" w:rsidRDefault="00A57451">
      <w:pPr>
        <w:spacing w:after="160" w:line="320" w:lineRule="auto"/>
        <w:rPr>
          <w:color w:val="1A1A2E"/>
        </w:rPr>
      </w:pPr>
    </w:p>
    <w:p w14:paraId="19E03545" w14:textId="77777777" w:rsidR="00A57451" w:rsidRDefault="00A57451">
      <w:pPr>
        <w:spacing w:after="160" w:line="320" w:lineRule="auto"/>
      </w:pPr>
    </w:p>
    <w:p w14:paraId="7E511156" w14:textId="3B9F542C" w:rsidR="00332D3C" w:rsidRDefault="00490B04">
      <w:pPr>
        <w:pStyle w:val="Heading2"/>
      </w:pPr>
      <w:bookmarkStart w:id="8" w:name="_Toc229110949"/>
      <w:r>
        <w:lastRenderedPageBreak/>
        <w:t xml:space="preserve">3.3 </w:t>
      </w:r>
      <w:r>
        <w:t>Error Bounds (Theorem 4)</w:t>
      </w:r>
      <w:bookmarkEnd w:id="8"/>
    </w:p>
    <w:p w14:paraId="7E511157" w14:textId="77777777" w:rsidR="00332D3C" w:rsidRDefault="00490B04">
      <w:pPr>
        <w:spacing w:after="160" w:line="320" w:lineRule="auto"/>
      </w:pPr>
      <w:r>
        <w:rPr>
          <w:color w:val="1A1A2E"/>
        </w:rPr>
        <w:t>The stability of Kolmogorov PDEs allows the L²-error to be bounded by the generalization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2D3C" w14:paraId="7E51115A" w14:textId="77777777">
        <w:tblPrEx>
          <w:tblCellMar>
            <w:top w:w="0" w:type="dxa"/>
            <w:bottom w:w="0" w:type="dxa"/>
          </w:tblCellMar>
        </w:tblPrEx>
        <w:tc>
          <w:tcPr>
            <w:tcW w:w="9360" w:type="dxa"/>
            <w:tcBorders>
              <w:top w:val="single" w:sz="1" w:space="0" w:color="A0C4E8"/>
              <w:left w:val="single" w:sz="1" w:space="0" w:color="A0C4E8"/>
              <w:bottom w:val="single" w:sz="1" w:space="0" w:color="A0C4E8"/>
              <w:right w:val="single" w:sz="1" w:space="0" w:color="A0C4E8"/>
            </w:tcBorders>
            <w:shd w:val="clear" w:color="auto" w:fill="EBF3FB"/>
            <w:tcMar>
              <w:top w:w="160" w:type="dxa"/>
              <w:left w:w="200" w:type="dxa"/>
              <w:bottom w:w="160" w:type="dxa"/>
              <w:right w:w="200" w:type="dxa"/>
            </w:tcMar>
          </w:tcPr>
          <w:p w14:paraId="7E511158" w14:textId="74F167BC" w:rsidR="00332D3C" w:rsidRDefault="00107E11">
            <w:pPr>
              <w:spacing w:after="80"/>
            </w:pPr>
            <w:r w:rsidRPr="00107E11">
              <w:rPr>
                <w:color w:val="1A1A2E"/>
                <w:sz w:val="21"/>
                <w:szCs w:val="21"/>
              </w:rPr>
              <w:drawing>
                <wp:anchor distT="0" distB="0" distL="114300" distR="114300" simplePos="0" relativeHeight="251660288" behindDoc="0" locked="0" layoutInCell="1" allowOverlap="1" wp14:anchorId="127E3A75" wp14:editId="13646DA9">
                  <wp:simplePos x="0" y="0"/>
                  <wp:positionH relativeFrom="column">
                    <wp:posOffset>626745</wp:posOffset>
                  </wp:positionH>
                  <wp:positionV relativeFrom="paragraph">
                    <wp:posOffset>197485</wp:posOffset>
                  </wp:positionV>
                  <wp:extent cx="3170195" cy="320068"/>
                  <wp:effectExtent l="0" t="0" r="0" b="3810"/>
                  <wp:wrapSquare wrapText="bothSides"/>
                  <wp:docPr id="62701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15259" name=""/>
                          <pic:cNvPicPr/>
                        </pic:nvPicPr>
                        <pic:blipFill>
                          <a:blip r:embed="rId12">
                            <a:extLst>
                              <a:ext uri="{28A0092B-C50C-407E-A947-70E740481C1C}">
                                <a14:useLocalDpi xmlns:a14="http://schemas.microsoft.com/office/drawing/2010/main" val="0"/>
                              </a:ext>
                            </a:extLst>
                          </a:blip>
                          <a:stretch>
                            <a:fillRect/>
                          </a:stretch>
                        </pic:blipFill>
                        <pic:spPr>
                          <a:xfrm>
                            <a:off x="0" y="0"/>
                            <a:ext cx="3170195" cy="320068"/>
                          </a:xfrm>
                          <a:prstGeom prst="rect">
                            <a:avLst/>
                          </a:prstGeom>
                        </pic:spPr>
                      </pic:pic>
                    </a:graphicData>
                  </a:graphic>
                </wp:anchor>
              </w:drawing>
            </w:r>
            <w:r w:rsidR="00490B04">
              <w:rPr>
                <w:b/>
                <w:bCs/>
                <w:color w:val="2E75B6"/>
              </w:rPr>
              <w:t>Total Error Bound (Theorem 4, De Ryck &amp; Mishra 2022)</w:t>
            </w:r>
          </w:p>
          <w:p w14:paraId="7E511159" w14:textId="73FE117A" w:rsidR="00332D3C" w:rsidRDefault="00332D3C"/>
        </w:tc>
      </w:tr>
    </w:tbl>
    <w:p w14:paraId="7E51115B" w14:textId="77777777" w:rsidR="00332D3C" w:rsidRDefault="00332D3C"/>
    <w:p w14:paraId="7E51115C" w14:textId="6A6CE33D" w:rsidR="00332D3C" w:rsidRDefault="00490B04">
      <w:pPr>
        <w:pStyle w:val="Heading2"/>
      </w:pPr>
      <w:bookmarkStart w:id="9" w:name="_Toc229110950"/>
      <w:r>
        <w:t xml:space="preserve">3.4 </w:t>
      </w:r>
      <w:r>
        <w:t>Generalization from Training Error (Corollary 3)</w:t>
      </w:r>
      <w:bookmarkEnd w:id="9"/>
    </w:p>
    <w:p w14:paraId="7E51115D" w14:textId="77777777" w:rsidR="00332D3C" w:rsidRDefault="00490B04">
      <w:pPr>
        <w:spacing w:after="160" w:line="320" w:lineRule="auto"/>
      </w:pPr>
      <w:r>
        <w:rPr>
          <w:color w:val="1A1A2E"/>
        </w:rPr>
        <w:t>Using a covering-number argument with Hoeffding's inequality, the paper proves that for sufficiently many randomly chosen training points N, the generalization error is bounded above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2D3C" w14:paraId="7E511160" w14:textId="77777777">
        <w:tblPrEx>
          <w:tblCellMar>
            <w:top w:w="0" w:type="dxa"/>
            <w:bottom w:w="0" w:type="dxa"/>
          </w:tblCellMar>
        </w:tblPrEx>
        <w:tc>
          <w:tcPr>
            <w:tcW w:w="9360" w:type="dxa"/>
            <w:tcBorders>
              <w:top w:val="single" w:sz="1" w:space="0" w:color="A0C4E8"/>
              <w:left w:val="single" w:sz="1" w:space="0" w:color="A0C4E8"/>
              <w:bottom w:val="single" w:sz="1" w:space="0" w:color="A0C4E8"/>
              <w:right w:val="single" w:sz="1" w:space="0" w:color="A0C4E8"/>
            </w:tcBorders>
            <w:shd w:val="clear" w:color="auto" w:fill="EBF3FB"/>
            <w:tcMar>
              <w:top w:w="160" w:type="dxa"/>
              <w:left w:w="200" w:type="dxa"/>
              <w:bottom w:w="160" w:type="dxa"/>
              <w:right w:w="200" w:type="dxa"/>
            </w:tcMar>
          </w:tcPr>
          <w:p w14:paraId="7E51115E" w14:textId="102E6FB7" w:rsidR="00332D3C" w:rsidRDefault="00B93E4F">
            <w:pPr>
              <w:spacing w:after="80"/>
            </w:pPr>
            <w:r w:rsidRPr="00B93E4F">
              <w:rPr>
                <w:color w:val="1A1A2E"/>
                <w:sz w:val="21"/>
                <w:szCs w:val="21"/>
              </w:rPr>
              <w:drawing>
                <wp:anchor distT="0" distB="0" distL="114300" distR="114300" simplePos="0" relativeHeight="251661312" behindDoc="0" locked="0" layoutInCell="1" allowOverlap="1" wp14:anchorId="2CE6C00C" wp14:editId="22655588">
                  <wp:simplePos x="0" y="0"/>
                  <wp:positionH relativeFrom="column">
                    <wp:posOffset>756285</wp:posOffset>
                  </wp:positionH>
                  <wp:positionV relativeFrom="paragraph">
                    <wp:posOffset>164465</wp:posOffset>
                  </wp:positionV>
                  <wp:extent cx="3139712" cy="434378"/>
                  <wp:effectExtent l="0" t="0" r="3810" b="3810"/>
                  <wp:wrapSquare wrapText="bothSides"/>
                  <wp:docPr id="138308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89926" name=""/>
                          <pic:cNvPicPr/>
                        </pic:nvPicPr>
                        <pic:blipFill>
                          <a:blip r:embed="rId13">
                            <a:extLst>
                              <a:ext uri="{28A0092B-C50C-407E-A947-70E740481C1C}">
                                <a14:useLocalDpi xmlns:a14="http://schemas.microsoft.com/office/drawing/2010/main" val="0"/>
                              </a:ext>
                            </a:extLst>
                          </a:blip>
                          <a:stretch>
                            <a:fillRect/>
                          </a:stretch>
                        </pic:blipFill>
                        <pic:spPr>
                          <a:xfrm>
                            <a:off x="0" y="0"/>
                            <a:ext cx="3139712" cy="434378"/>
                          </a:xfrm>
                          <a:prstGeom prst="rect">
                            <a:avLst/>
                          </a:prstGeom>
                        </pic:spPr>
                      </pic:pic>
                    </a:graphicData>
                  </a:graphic>
                </wp:anchor>
              </w:drawing>
            </w:r>
            <w:r w:rsidR="00490B04">
              <w:rPr>
                <w:b/>
                <w:bCs/>
                <w:color w:val="2E75B6"/>
              </w:rPr>
              <w:t>Generalization Bound (Corollary 3)</w:t>
            </w:r>
          </w:p>
          <w:p w14:paraId="7E51115F" w14:textId="4FDDEF34" w:rsidR="00332D3C" w:rsidRDefault="00332D3C"/>
        </w:tc>
      </w:tr>
    </w:tbl>
    <w:p w14:paraId="7E511161" w14:textId="77777777" w:rsidR="00332D3C" w:rsidRDefault="00332D3C"/>
    <w:p w14:paraId="7E511162" w14:textId="77777777" w:rsidR="00332D3C" w:rsidRDefault="00490B04">
      <w:pPr>
        <w:spacing w:after="160" w:line="320" w:lineRule="auto"/>
      </w:pPr>
      <w:r>
        <w:rPr>
          <w:color w:val="1A1A2E"/>
        </w:rPr>
        <w:t>This chain — (training error) → (generalization error) → (total L²-error) — constitutes the complete theoretical guarantee for PINNs on Kolmogorov PDEs.</w:t>
      </w:r>
    </w:p>
    <w:p w14:paraId="7E511163" w14:textId="77777777" w:rsidR="00332D3C" w:rsidRDefault="00490B04">
      <w:r>
        <w:br w:type="page"/>
      </w:r>
    </w:p>
    <w:p w14:paraId="7E511164" w14:textId="77777777" w:rsidR="00332D3C" w:rsidRDefault="00490B04">
      <w:pPr>
        <w:pStyle w:val="Heading1"/>
      </w:pPr>
      <w:bookmarkStart w:id="10" w:name="_Toc229110951"/>
      <w:r>
        <w:lastRenderedPageBreak/>
        <w:t>4. Methodology</w:t>
      </w:r>
      <w:bookmarkEnd w:id="10"/>
    </w:p>
    <w:p w14:paraId="7E511165" w14:textId="77777777" w:rsidR="00332D3C" w:rsidRDefault="00332D3C">
      <w:pPr>
        <w:pBdr>
          <w:bottom w:val="single" w:sz="6" w:space="1" w:color="2E75B6"/>
        </w:pBdr>
        <w:spacing w:after="160"/>
      </w:pPr>
    </w:p>
    <w:p w14:paraId="7E511166" w14:textId="6E569165" w:rsidR="00332D3C" w:rsidRDefault="00490B04">
      <w:pPr>
        <w:pStyle w:val="Heading2"/>
      </w:pPr>
      <w:bookmarkStart w:id="11" w:name="_Toc229110952"/>
      <w:r>
        <w:t xml:space="preserve">4.1 </w:t>
      </w:r>
      <w:r>
        <w:t>Overview of the PINN Framework</w:t>
      </w:r>
      <w:bookmarkEnd w:id="11"/>
    </w:p>
    <w:p w14:paraId="7E511167" w14:textId="77777777" w:rsidR="00332D3C" w:rsidRDefault="00490B04">
      <w:pPr>
        <w:spacing w:after="160" w:line="320" w:lineRule="auto"/>
      </w:pPr>
      <w:r>
        <w:rPr>
          <w:color w:val="1A1A2E"/>
        </w:rPr>
        <w:t>A Physics-Informed Neural Network solves a PDE by minimizing a composite loss function that penalizes violations of: (a) the PDE residual in the interior, (b) boundary and initial conditions, and (c) optionally, data observations. Unlike supervised learning, no labelled solution data is required in the interior — the physics itself provides the supervisory signal.</w:t>
      </w:r>
    </w:p>
    <w:p w14:paraId="7E511168" w14:textId="0A14C1A9" w:rsidR="00332D3C" w:rsidRDefault="00490B04">
      <w:pPr>
        <w:pStyle w:val="Heading2"/>
      </w:pPr>
      <w:bookmarkStart w:id="12" w:name="_Toc229110953"/>
      <w:r>
        <w:t xml:space="preserve">4.2 </w:t>
      </w:r>
      <w:r>
        <w:t>Real Data Pipeline</w:t>
      </w:r>
      <w:bookmarkEnd w:id="12"/>
    </w:p>
    <w:p w14:paraId="7E511169" w14:textId="77777777" w:rsidR="00332D3C" w:rsidRDefault="00490B04">
      <w:pPr>
        <w:spacing w:after="160" w:line="320" w:lineRule="auto"/>
      </w:pPr>
      <w:r>
        <w:rPr>
          <w:color w:val="1A1A2E"/>
        </w:rPr>
        <w:t>A key innovation of this project is the replacement of synthetic, uniformly sampled collocation points with real market data. The pipeline is as follows:</w:t>
      </w:r>
    </w:p>
    <w:p w14:paraId="7E51116A" w14:textId="77777777" w:rsidR="00332D3C" w:rsidRDefault="00490B04">
      <w:pPr>
        <w:pStyle w:val="ListParagraph"/>
        <w:numPr>
          <w:ilvl w:val="0"/>
          <w:numId w:val="2"/>
        </w:numPr>
        <w:spacing w:after="120"/>
      </w:pPr>
      <w:r>
        <w:rPr>
          <w:color w:val="1A1A2E"/>
        </w:rPr>
        <w:t>Load daily returns for 50 NSE stocks (2008–2024) from dataset_returns.csv.</w:t>
      </w:r>
    </w:p>
    <w:p w14:paraId="7E51116B" w14:textId="77777777" w:rsidR="00332D3C" w:rsidRDefault="00490B04">
      <w:pPr>
        <w:pStyle w:val="ListParagraph"/>
        <w:numPr>
          <w:ilvl w:val="0"/>
          <w:numId w:val="2"/>
        </w:numPr>
        <w:spacing w:after="120"/>
      </w:pPr>
      <w:r>
        <w:rPr>
          <w:color w:val="1A1A2E"/>
        </w:rPr>
        <w:t>Reconstruct normalised price paths via cumulative product: P_t = P_0 × ∏(1 + r_i).</w:t>
      </w:r>
    </w:p>
    <w:p w14:paraId="7E51116C" w14:textId="77777777" w:rsidR="00332D3C" w:rsidRDefault="00490B04">
      <w:pPr>
        <w:pStyle w:val="ListParagraph"/>
        <w:numPr>
          <w:ilvl w:val="0"/>
          <w:numId w:val="2"/>
        </w:numPr>
        <w:spacing w:after="120"/>
      </w:pPr>
      <w:r>
        <w:rPr>
          <w:color w:val="1A1A2E"/>
        </w:rPr>
        <w:t>Compute rolling 252-day annualised volatility: σ_t = std(r_{t-251:t}) × √252.</w:t>
      </w:r>
    </w:p>
    <w:p w14:paraId="7E51116D" w14:textId="77777777" w:rsidR="00332D3C" w:rsidRDefault="00490B04">
      <w:pPr>
        <w:pStyle w:val="ListParagraph"/>
        <w:numPr>
          <w:ilvl w:val="0"/>
          <w:numId w:val="2"/>
        </w:numPr>
        <w:spacing w:after="120"/>
      </w:pPr>
      <w:r>
        <w:rPr>
          <w:color w:val="1A1A2E"/>
        </w:rPr>
        <w:t>Scale price paths to the PINN domain [0, S_max] using the 99th percentile as a robust maximum.</w:t>
      </w:r>
    </w:p>
    <w:p w14:paraId="7E51116E" w14:textId="77777777" w:rsidR="00332D3C" w:rsidRDefault="00490B04">
      <w:pPr>
        <w:pStyle w:val="ListParagraph"/>
        <w:numPr>
          <w:ilvl w:val="0"/>
          <w:numId w:val="2"/>
        </w:numPr>
        <w:spacing w:after="120"/>
      </w:pPr>
      <w:r>
        <w:rPr>
          <w:color w:val="1A1A2E"/>
        </w:rPr>
        <w:t>Sample collocation points (S, σ) by drawing randomly from the cleaned real (S, σ) joint distribution (~197K valid pairs).</w:t>
      </w:r>
    </w:p>
    <w:p w14:paraId="7E51116F" w14:textId="77777777" w:rsidR="00332D3C" w:rsidRDefault="00490B04">
      <w:pPr>
        <w:pStyle w:val="ListParagraph"/>
        <w:numPr>
          <w:ilvl w:val="0"/>
          <w:numId w:val="2"/>
        </w:numPr>
        <w:spacing w:after="120"/>
      </w:pPr>
      <w:r>
        <w:rPr>
          <w:color w:val="1A1A2E"/>
        </w:rPr>
        <w:t>For each boundary condition, volatility is also drawn from the real distribution rather than a synthetic range.</w:t>
      </w:r>
    </w:p>
    <w:p w14:paraId="7E511170" w14:textId="77777777" w:rsidR="00332D3C" w:rsidRDefault="00332D3C"/>
    <w:p w14:paraId="7E511171" w14:textId="77777777" w:rsidR="00332D3C" w:rsidRDefault="00490B04">
      <w:pPr>
        <w:spacing w:after="160" w:line="320" w:lineRule="auto"/>
      </w:pPr>
      <w:r>
        <w:rPr>
          <w:color w:val="1A1A2E"/>
        </w:rPr>
        <w:t>This ensures that the neural network is trained on the distribution of (S, σ) actually encountered in Indian equity markets, making it relevant for real pricing applications.</w:t>
      </w:r>
    </w:p>
    <w:p w14:paraId="7E511172" w14:textId="59562E82" w:rsidR="00332D3C" w:rsidRDefault="00490B04">
      <w:pPr>
        <w:pStyle w:val="Heading2"/>
      </w:pPr>
      <w:bookmarkStart w:id="13" w:name="_Toc229110954"/>
      <w:r>
        <w:t xml:space="preserve">4.3 </w:t>
      </w:r>
      <w:r>
        <w:t>Neural Network Architecture</w:t>
      </w:r>
      <w:bookmarkEnd w:id="13"/>
    </w:p>
    <w:p w14:paraId="7E511173" w14:textId="77777777" w:rsidR="00332D3C" w:rsidRDefault="00490B04">
      <w:pPr>
        <w:spacing w:after="160" w:line="320" w:lineRule="auto"/>
      </w:pPr>
      <w:r>
        <w:rPr>
          <w:color w:val="1A1A2E"/>
        </w:rPr>
        <w:t>The PINN takes three inputs — stock price S, time t, and volatility σ — and outputs a scalar option price V(S, t, σ). The architecture is a fully connected feed-forward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32D3C" w14:paraId="7E51117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511174" w14:textId="77777777" w:rsidR="00332D3C" w:rsidRDefault="00490B04">
            <w:r>
              <w:rPr>
                <w:b/>
                <w:bCs/>
                <w:color w:val="1B3A6B"/>
                <w:sz w:val="21"/>
                <w:szCs w:val="21"/>
              </w:rPr>
              <w:t>Component</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511175" w14:textId="77777777" w:rsidR="00332D3C" w:rsidRDefault="00490B04">
            <w:r>
              <w:rPr>
                <w:b/>
                <w:bCs/>
                <w:color w:val="1B3A6B"/>
                <w:sz w:val="21"/>
                <w:szCs w:val="21"/>
              </w:rPr>
              <w:t>Specification</w:t>
            </w:r>
          </w:p>
        </w:tc>
      </w:tr>
      <w:tr w:rsidR="00332D3C" w14:paraId="7E51117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77" w14:textId="77777777" w:rsidR="00332D3C" w:rsidRDefault="00490B04">
            <w:r>
              <w:rPr>
                <w:color w:val="1A1A2E"/>
                <w:sz w:val="20"/>
                <w:szCs w:val="20"/>
              </w:rPr>
              <w:t>Input Layer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78" w14:textId="77777777" w:rsidR="00332D3C" w:rsidRDefault="00490B04">
            <w:r>
              <w:rPr>
                <w:color w:val="1A1A2E"/>
                <w:sz w:val="20"/>
                <w:szCs w:val="20"/>
              </w:rPr>
              <w:t>3 neurons: [S, t, σ]</w:t>
            </w:r>
          </w:p>
        </w:tc>
      </w:tr>
      <w:tr w:rsidR="00332D3C" w14:paraId="7E5111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7A" w14:textId="77777777" w:rsidR="00332D3C" w:rsidRDefault="00490B04">
            <w:r>
              <w:rPr>
                <w:color w:val="1A1A2E"/>
                <w:sz w:val="20"/>
                <w:szCs w:val="20"/>
              </w:rPr>
              <w:t>Hidden Layers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7B" w14:textId="77777777" w:rsidR="00332D3C" w:rsidRDefault="00490B04">
            <w:r>
              <w:rPr>
                <w:color w:val="1A1A2E"/>
                <w:sz w:val="20"/>
                <w:szCs w:val="20"/>
              </w:rPr>
              <w:t>4 hidden layers, each with 50 neurons</w:t>
            </w:r>
          </w:p>
        </w:tc>
      </w:tr>
      <w:tr w:rsidR="00332D3C" w14:paraId="7E51117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7D" w14:textId="77777777" w:rsidR="00332D3C" w:rsidRDefault="00490B04">
            <w:r>
              <w:rPr>
                <w:color w:val="1A1A2E"/>
                <w:sz w:val="20"/>
                <w:szCs w:val="20"/>
              </w:rPr>
              <w:t>Activation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7E" w14:textId="77777777" w:rsidR="00332D3C" w:rsidRDefault="00490B04">
            <w:r>
              <w:rPr>
                <w:color w:val="1A1A2E"/>
                <w:sz w:val="20"/>
                <w:szCs w:val="20"/>
              </w:rPr>
              <w:t>Tanh (twice continuously differentiable — required for PDE derivatives)</w:t>
            </w:r>
          </w:p>
        </w:tc>
      </w:tr>
      <w:tr w:rsidR="00332D3C" w14:paraId="7E51118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80" w14:textId="77777777" w:rsidR="00332D3C" w:rsidRDefault="00490B04">
            <w:r>
              <w:rPr>
                <w:color w:val="1A1A2E"/>
                <w:sz w:val="20"/>
                <w:szCs w:val="20"/>
              </w:rPr>
              <w:t>Output Layer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81" w14:textId="77777777" w:rsidR="00332D3C" w:rsidRDefault="00490B04">
            <w:r>
              <w:rPr>
                <w:color w:val="1A1A2E"/>
                <w:sz w:val="20"/>
                <w:szCs w:val="20"/>
              </w:rPr>
              <w:t>1 neuron: option price V</w:t>
            </w:r>
          </w:p>
        </w:tc>
      </w:tr>
      <w:tr w:rsidR="00332D3C" w14:paraId="7E51118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83" w14:textId="77777777" w:rsidR="00332D3C" w:rsidRDefault="00490B04">
            <w:r>
              <w:rPr>
                <w:color w:val="1A1A2E"/>
                <w:sz w:val="20"/>
                <w:szCs w:val="20"/>
              </w:rPr>
              <w:lastRenderedPageBreak/>
              <w:t>Weight Init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84" w14:textId="77777777" w:rsidR="00332D3C" w:rsidRDefault="00490B04">
            <w:r>
              <w:rPr>
                <w:color w:val="1A1A2E"/>
                <w:sz w:val="20"/>
                <w:szCs w:val="20"/>
              </w:rPr>
              <w:t>Xavier/Glorot normal initialisation; biases initialised to zero</w:t>
            </w:r>
          </w:p>
        </w:tc>
      </w:tr>
      <w:tr w:rsidR="00332D3C" w14:paraId="7E5111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86" w14:textId="77777777" w:rsidR="00332D3C" w:rsidRDefault="00490B04">
            <w:r>
              <w:rPr>
                <w:color w:val="1A1A2E"/>
                <w:sz w:val="20"/>
                <w:szCs w:val="20"/>
              </w:rPr>
              <w:t>Total Params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87" w14:textId="77777777" w:rsidR="00332D3C" w:rsidRDefault="00490B04">
            <w:r>
              <w:rPr>
                <w:color w:val="1A1A2E"/>
                <w:sz w:val="20"/>
                <w:szCs w:val="20"/>
              </w:rPr>
              <w:t>~13,051 trainable parameters</w:t>
            </w:r>
          </w:p>
        </w:tc>
      </w:tr>
    </w:tbl>
    <w:p w14:paraId="7E511189" w14:textId="77777777" w:rsidR="00332D3C" w:rsidRDefault="00332D3C"/>
    <w:p w14:paraId="7E51118A" w14:textId="77777777" w:rsidR="00332D3C" w:rsidRDefault="00490B04">
      <w:pPr>
        <w:spacing w:after="160" w:line="320" w:lineRule="auto"/>
      </w:pPr>
      <w:r>
        <w:rPr>
          <w:color w:val="1A1A2E"/>
        </w:rPr>
        <w:t>The Tanh activation function is critical: the Black-Scholes loss requires computing second-order partial derivatives (V_SS) via automatic differentiation (autograd). Activations that are twice continuously differentiable — such as Tanh — ensure these higher-order gradients exist and are well-behaved, which is also a formal requirement in the theoretical results of De Ryck &amp; Mishra (2022).</w:t>
      </w:r>
    </w:p>
    <w:p w14:paraId="7E51118B" w14:textId="5A432151" w:rsidR="00332D3C" w:rsidRDefault="00490B04">
      <w:pPr>
        <w:pStyle w:val="Heading2"/>
      </w:pPr>
      <w:bookmarkStart w:id="14" w:name="_Toc229110955"/>
      <w:r>
        <w:t xml:space="preserve">4.4 </w:t>
      </w:r>
      <w:r>
        <w:t>Loss Function</w:t>
      </w:r>
      <w:bookmarkEnd w:id="14"/>
    </w:p>
    <w:p w14:paraId="7E51118C" w14:textId="77777777" w:rsidR="00332D3C" w:rsidRDefault="00490B04">
      <w:pPr>
        <w:spacing w:after="160" w:line="320" w:lineRule="auto"/>
      </w:pPr>
      <w:r>
        <w:rPr>
          <w:color w:val="1A1A2E"/>
        </w:rPr>
        <w:t>The composite PINN loss combines three physics-constrained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32D3C" w14:paraId="7E51118F" w14:textId="77777777">
        <w:tblPrEx>
          <w:tblCellMar>
            <w:top w:w="0" w:type="dxa"/>
            <w:bottom w:w="0" w:type="dxa"/>
          </w:tblCellMar>
        </w:tblPrEx>
        <w:tc>
          <w:tcPr>
            <w:tcW w:w="9360" w:type="dxa"/>
            <w:tcBorders>
              <w:top w:val="single" w:sz="1" w:space="0" w:color="A0C4E8"/>
              <w:left w:val="single" w:sz="1" w:space="0" w:color="A0C4E8"/>
              <w:bottom w:val="single" w:sz="1" w:space="0" w:color="A0C4E8"/>
              <w:right w:val="single" w:sz="1" w:space="0" w:color="A0C4E8"/>
            </w:tcBorders>
            <w:shd w:val="clear" w:color="auto" w:fill="EBF3FB"/>
            <w:tcMar>
              <w:top w:w="160" w:type="dxa"/>
              <w:left w:w="200" w:type="dxa"/>
              <w:bottom w:w="160" w:type="dxa"/>
              <w:right w:w="200" w:type="dxa"/>
            </w:tcMar>
          </w:tcPr>
          <w:p w14:paraId="7E51118D" w14:textId="45EA770B" w:rsidR="00332D3C" w:rsidRDefault="00490B04">
            <w:pPr>
              <w:spacing w:after="80"/>
            </w:pPr>
            <w:r>
              <w:rPr>
                <w:b/>
                <w:bCs/>
                <w:color w:val="2E75B6"/>
              </w:rPr>
              <w:t>PINN Loss Function</w:t>
            </w:r>
            <w:r w:rsidR="004D1891">
              <w:rPr>
                <w:b/>
                <w:bCs/>
                <w:color w:val="2E75B6"/>
              </w:rPr>
              <w:t>:</w:t>
            </w:r>
          </w:p>
          <w:p w14:paraId="7E51118E" w14:textId="3BE3904F" w:rsidR="00332D3C" w:rsidRDefault="00B044F9">
            <w:r w:rsidRPr="00B044F9">
              <w:rPr>
                <w:color w:val="1A1A2E"/>
                <w:sz w:val="21"/>
                <w:szCs w:val="21"/>
              </w:rPr>
              <w:drawing>
                <wp:inline distT="0" distB="0" distL="0" distR="0" wp14:anchorId="24240A35" wp14:editId="15A84F20">
                  <wp:extent cx="5943600" cy="380365"/>
                  <wp:effectExtent l="0" t="0" r="0" b="635"/>
                  <wp:docPr id="148521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19408" name=""/>
                          <pic:cNvPicPr/>
                        </pic:nvPicPr>
                        <pic:blipFill>
                          <a:blip r:embed="rId14"/>
                          <a:stretch>
                            <a:fillRect/>
                          </a:stretch>
                        </pic:blipFill>
                        <pic:spPr>
                          <a:xfrm>
                            <a:off x="0" y="0"/>
                            <a:ext cx="5943600" cy="380365"/>
                          </a:xfrm>
                          <a:prstGeom prst="rect">
                            <a:avLst/>
                          </a:prstGeom>
                        </pic:spPr>
                      </pic:pic>
                    </a:graphicData>
                  </a:graphic>
                </wp:inline>
              </w:drawing>
            </w:r>
          </w:p>
        </w:tc>
      </w:tr>
    </w:tbl>
    <w:p w14:paraId="7E511190" w14:textId="77777777" w:rsidR="00332D3C" w:rsidRDefault="00332D3C"/>
    <w:p w14:paraId="7E511191" w14:textId="77777777" w:rsidR="00332D3C" w:rsidRDefault="00490B04">
      <w:pPr>
        <w:spacing w:after="160" w:line="320" w:lineRule="auto"/>
      </w:pPr>
      <w:r>
        <w:rPr>
          <w:color w:val="1A1A2E"/>
        </w:rPr>
        <w:t>The PDE residual is evaluated using PyTorch's automatic differentiation engine. Gradients ∂V/∂t, ∂V/∂S, and ∂²V/∂S² are computed by tracing the forward pass of the network — no finite differences are required. This is a fundamental advantage: the derivative estimates are exact to machine precision, not subject to grid-discretisation error.</w:t>
      </w:r>
    </w:p>
    <w:p w14:paraId="7E511192" w14:textId="5C621670" w:rsidR="00332D3C" w:rsidRDefault="00490B04">
      <w:pPr>
        <w:pStyle w:val="Heading2"/>
      </w:pPr>
      <w:bookmarkStart w:id="15" w:name="_Toc229110956"/>
      <w:r>
        <w:t xml:space="preserve">4.5 </w:t>
      </w:r>
      <w:r>
        <w:t>The Adam Optimizer</w:t>
      </w:r>
      <w:bookmarkEnd w:id="15"/>
    </w:p>
    <w:p w14:paraId="7E511193" w14:textId="77777777" w:rsidR="00332D3C" w:rsidRDefault="00490B04">
      <w:pPr>
        <w:spacing w:after="160" w:line="320" w:lineRule="auto"/>
      </w:pPr>
      <w:r>
        <w:rPr>
          <w:color w:val="1A1A2E"/>
        </w:rPr>
        <w:t>Adam (Adaptive Moment Estimation) is a first-order gradient-based optimisation algorithm that maintains per-parameter adaptive learning rates. It combines the benefits of AdaGrad (handles sparse gradients) and RMSProp (handles non-stationary objectives):</w:t>
      </w:r>
    </w:p>
    <w:tbl>
      <w:tblPr>
        <w:tblW w:w="4128" w:type="dxa"/>
        <w:tblInd w:w="2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8"/>
      </w:tblGrid>
      <w:tr w:rsidR="00332D3C" w14:paraId="7E511196" w14:textId="77777777" w:rsidTr="0089724B">
        <w:tblPrEx>
          <w:tblCellMar>
            <w:top w:w="0" w:type="dxa"/>
            <w:bottom w:w="0" w:type="dxa"/>
          </w:tblCellMar>
        </w:tblPrEx>
        <w:trPr>
          <w:trHeight w:val="1988"/>
        </w:trPr>
        <w:tc>
          <w:tcPr>
            <w:tcW w:w="4128" w:type="dxa"/>
            <w:tcBorders>
              <w:top w:val="single" w:sz="1" w:space="0" w:color="A0C4E8"/>
              <w:left w:val="single" w:sz="1" w:space="0" w:color="A0C4E8"/>
              <w:bottom w:val="single" w:sz="1" w:space="0" w:color="A0C4E8"/>
              <w:right w:val="single" w:sz="1" w:space="0" w:color="A0C4E8"/>
            </w:tcBorders>
            <w:shd w:val="clear" w:color="auto" w:fill="EBF3FB"/>
            <w:tcMar>
              <w:top w:w="160" w:type="dxa"/>
              <w:left w:w="200" w:type="dxa"/>
              <w:bottom w:w="160" w:type="dxa"/>
              <w:right w:w="200" w:type="dxa"/>
            </w:tcMar>
          </w:tcPr>
          <w:p w14:paraId="7E511194" w14:textId="70E001BF" w:rsidR="00332D3C" w:rsidRDefault="00490B04">
            <w:pPr>
              <w:spacing w:after="80"/>
            </w:pPr>
            <w:r>
              <w:rPr>
                <w:b/>
                <w:bCs/>
                <w:color w:val="2E75B6"/>
              </w:rPr>
              <w:t>Adam Update Rule</w:t>
            </w:r>
          </w:p>
          <w:p w14:paraId="7E511195" w14:textId="51B591DD" w:rsidR="00332D3C" w:rsidRDefault="0032643C">
            <w:r w:rsidRPr="0032643C">
              <w:rPr>
                <w:color w:val="1A1A2E"/>
                <w:sz w:val="21"/>
                <w:szCs w:val="21"/>
              </w:rPr>
              <w:drawing>
                <wp:inline distT="0" distB="0" distL="0" distR="0" wp14:anchorId="3DA9A9FF" wp14:editId="30EB65E4">
                  <wp:extent cx="2133785" cy="990686"/>
                  <wp:effectExtent l="0" t="0" r="0" b="0"/>
                  <wp:docPr id="189062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23312" name=""/>
                          <pic:cNvPicPr/>
                        </pic:nvPicPr>
                        <pic:blipFill>
                          <a:blip r:embed="rId15"/>
                          <a:stretch>
                            <a:fillRect/>
                          </a:stretch>
                        </pic:blipFill>
                        <pic:spPr>
                          <a:xfrm>
                            <a:off x="0" y="0"/>
                            <a:ext cx="2133785" cy="990686"/>
                          </a:xfrm>
                          <a:prstGeom prst="rect">
                            <a:avLst/>
                          </a:prstGeom>
                        </pic:spPr>
                      </pic:pic>
                    </a:graphicData>
                  </a:graphic>
                </wp:inline>
              </w:drawing>
            </w:r>
          </w:p>
        </w:tc>
      </w:tr>
    </w:tbl>
    <w:p w14:paraId="7E511197" w14:textId="77777777" w:rsidR="00332D3C" w:rsidRDefault="00332D3C"/>
    <w:p w14:paraId="0C44DADC" w14:textId="108D4910" w:rsidR="00017510" w:rsidRPr="0089724B" w:rsidRDefault="00490B04">
      <w:pPr>
        <w:spacing w:after="160" w:line="320" w:lineRule="auto"/>
        <w:rPr>
          <w:color w:val="1A1A2E"/>
        </w:rPr>
      </w:pPr>
      <w:r>
        <w:rPr>
          <w:color w:val="1A1A2E"/>
        </w:rPr>
        <w:t>In our training, Adam runs for 2,500 epochs with learning rate α = 0.001, β₁ = 0.9, β₂ = 0.999. Adam is chosen for Stage 1 because it is robust to noisy gradients, handles the non-convex</w:t>
      </w:r>
      <w:r>
        <w:rPr>
          <w:color w:val="1A1A2E"/>
        </w:rPr>
        <w:t xml:space="preserve"> </w:t>
      </w:r>
      <w:r>
        <w:rPr>
          <w:color w:val="1A1A2E"/>
        </w:rPr>
        <w:t>PINN loss landscape well, and converges quickly to a good basin without careful hyperparameter tuning.</w:t>
      </w:r>
    </w:p>
    <w:p w14:paraId="7E511199" w14:textId="3A03A3C0" w:rsidR="00332D3C" w:rsidRDefault="00490B04">
      <w:pPr>
        <w:pStyle w:val="Heading2"/>
      </w:pPr>
      <w:bookmarkStart w:id="16" w:name="_Toc229110957"/>
      <w:r>
        <w:lastRenderedPageBreak/>
        <w:t xml:space="preserve">4.6 </w:t>
      </w:r>
      <w:r>
        <w:t>The L-BFGS Optimizer</w:t>
      </w:r>
      <w:bookmarkEnd w:id="16"/>
    </w:p>
    <w:p w14:paraId="7E51119A" w14:textId="77777777" w:rsidR="00332D3C" w:rsidRDefault="00490B04">
      <w:pPr>
        <w:spacing w:after="160" w:line="320" w:lineRule="auto"/>
      </w:pPr>
      <w:r>
        <w:rPr>
          <w:color w:val="1A1A2E"/>
        </w:rPr>
        <w:t>Limited-memory Broyden–Fletcher–Goldfarb–Shanno (L-BFGS) is a quasi-Newton second-order optimisation method. Unlike Adam, it uses curvature information (an approximation to the inverse Hessian) to determine step 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2D3C" w14:paraId="7E51119D" w14:textId="77777777">
        <w:tblPrEx>
          <w:tblCellMar>
            <w:top w:w="0" w:type="dxa"/>
            <w:bottom w:w="0" w:type="dxa"/>
          </w:tblCellMar>
        </w:tblPrEx>
        <w:tc>
          <w:tcPr>
            <w:tcW w:w="9360" w:type="dxa"/>
            <w:tcBorders>
              <w:top w:val="single" w:sz="1" w:space="0" w:color="A0C4E8"/>
              <w:left w:val="single" w:sz="1" w:space="0" w:color="A0C4E8"/>
              <w:bottom w:val="single" w:sz="1" w:space="0" w:color="A0C4E8"/>
              <w:right w:val="single" w:sz="1" w:space="0" w:color="A0C4E8"/>
            </w:tcBorders>
            <w:shd w:val="clear" w:color="auto" w:fill="EBF3FB"/>
            <w:tcMar>
              <w:top w:w="160" w:type="dxa"/>
              <w:left w:w="200" w:type="dxa"/>
              <w:bottom w:w="160" w:type="dxa"/>
              <w:right w:w="200" w:type="dxa"/>
            </w:tcMar>
          </w:tcPr>
          <w:p w14:paraId="7E51119B" w14:textId="77777777" w:rsidR="00332D3C" w:rsidRDefault="00490B04">
            <w:pPr>
              <w:spacing w:after="80"/>
            </w:pPr>
            <w:r>
              <w:rPr>
                <w:b/>
                <w:bCs/>
                <w:color w:val="2E75B6"/>
              </w:rPr>
              <w:t>L-BFGS Key Properties</w:t>
            </w:r>
          </w:p>
          <w:p w14:paraId="4A9A13F6" w14:textId="77777777" w:rsidR="00017510" w:rsidRDefault="00490B04">
            <w:pPr>
              <w:rPr>
                <w:color w:val="1A1A2E"/>
                <w:sz w:val="21"/>
                <w:szCs w:val="21"/>
              </w:rPr>
            </w:pPr>
            <w:r>
              <w:rPr>
                <w:color w:val="1A1A2E"/>
                <w:sz w:val="21"/>
                <w:szCs w:val="21"/>
              </w:rPr>
              <w:t>• Approximates the inverse Hessian using the last m gradient history vectors (m=50 here)</w:t>
            </w:r>
          </w:p>
          <w:p w14:paraId="5D9045F3" w14:textId="77777777" w:rsidR="00017510" w:rsidRDefault="00490B04">
            <w:pPr>
              <w:rPr>
                <w:color w:val="1A1A2E"/>
                <w:sz w:val="21"/>
                <w:szCs w:val="21"/>
              </w:rPr>
            </w:pPr>
            <w:r>
              <w:rPr>
                <w:color w:val="1A1A2E"/>
                <w:sz w:val="21"/>
                <w:szCs w:val="21"/>
              </w:rPr>
              <w:t xml:space="preserve"> • Line search guarantees sufficient decrease (Wolfe conditions)</w:t>
            </w:r>
          </w:p>
          <w:p w14:paraId="433FEF4D" w14:textId="51B0B5E4" w:rsidR="00017510" w:rsidRDefault="00490B04">
            <w:pPr>
              <w:rPr>
                <w:color w:val="1A1A2E"/>
                <w:sz w:val="21"/>
                <w:szCs w:val="21"/>
              </w:rPr>
            </w:pPr>
            <w:r>
              <w:rPr>
                <w:color w:val="1A1A2E"/>
                <w:sz w:val="21"/>
                <w:szCs w:val="21"/>
              </w:rPr>
              <w:t xml:space="preserve"> • Converges super</w:t>
            </w:r>
            <w:r w:rsidR="0032643C">
              <w:rPr>
                <w:color w:val="1A1A2E"/>
                <w:sz w:val="21"/>
                <w:szCs w:val="21"/>
              </w:rPr>
              <w:t xml:space="preserve"> </w:t>
            </w:r>
            <w:r>
              <w:rPr>
                <w:color w:val="1A1A2E"/>
                <w:sz w:val="21"/>
                <w:szCs w:val="21"/>
              </w:rPr>
              <w:t>linearly near optima, making it ideal for fine-tuning after Adam</w:t>
            </w:r>
          </w:p>
          <w:p w14:paraId="7E51119C" w14:textId="02D868FA" w:rsidR="00332D3C" w:rsidRDefault="00490B04">
            <w:r>
              <w:rPr>
                <w:color w:val="1A1A2E"/>
                <w:sz w:val="21"/>
                <w:szCs w:val="21"/>
              </w:rPr>
              <w:t xml:space="preserve"> • Max iterations: 500;  tolerance_grad = 1e-7;  tolerance_change = 1e-9</w:t>
            </w:r>
          </w:p>
        </w:tc>
      </w:tr>
    </w:tbl>
    <w:p w14:paraId="7E51119E" w14:textId="77777777" w:rsidR="00332D3C" w:rsidRDefault="00332D3C"/>
    <w:p w14:paraId="7E51119F" w14:textId="77777777" w:rsidR="00332D3C" w:rsidRDefault="00490B04">
      <w:pPr>
        <w:spacing w:after="160" w:line="320" w:lineRule="auto"/>
      </w:pPr>
      <w:r>
        <w:rPr>
          <w:color w:val="1A1A2E"/>
        </w:rPr>
        <w:t>The two-stage training strategy (Adam → L-BFGS) is standard in PINN literature. Adam rapidly drives the loss to a reasonable basin; L-BFGS then exploits the locally convex structure to achieve much tighter convergence. The combination typically achieves lower final losses than either method alone.</w:t>
      </w:r>
    </w:p>
    <w:p w14:paraId="7E5111A0" w14:textId="033ED269" w:rsidR="00332D3C" w:rsidRDefault="00490B04">
      <w:pPr>
        <w:pStyle w:val="Heading2"/>
      </w:pPr>
      <w:bookmarkStart w:id="17" w:name="_Toc229110958"/>
      <w:r>
        <w:t xml:space="preserve">4.7 </w:t>
      </w:r>
      <w:r>
        <w:t>Automatic Differentiation via PyTorch Auto</w:t>
      </w:r>
      <w:r w:rsidR="0032643C">
        <w:t>-</w:t>
      </w:r>
      <w:r>
        <w:t>grad</w:t>
      </w:r>
      <w:bookmarkEnd w:id="17"/>
    </w:p>
    <w:p w14:paraId="7E5111A1" w14:textId="77777777" w:rsidR="00332D3C" w:rsidRPr="00A979B4" w:rsidRDefault="00490B04">
      <w:pPr>
        <w:spacing w:after="160" w:line="320" w:lineRule="auto"/>
        <w:rPr>
          <w:sz w:val="18"/>
          <w:szCs w:val="18"/>
        </w:rPr>
      </w:pPr>
      <w:r w:rsidRPr="00A979B4">
        <w:rPr>
          <w:color w:val="1A1A2E"/>
          <w:sz w:val="18"/>
          <w:szCs w:val="18"/>
        </w:rPr>
        <w:t>The PDE residual requires computing spatial and temporal derivatives of the neural network output. PyTorch's autograd engine maintains a computational graph of all tensor operations during the forward pass. Gradients are then computed exactly via the chain rule in a backward pass:</w:t>
      </w:r>
    </w:p>
    <w:p w14:paraId="7E5111A2" w14:textId="77777777" w:rsidR="00332D3C" w:rsidRPr="00A979B4" w:rsidRDefault="00490B04">
      <w:pPr>
        <w:pStyle w:val="ListParagraph"/>
        <w:numPr>
          <w:ilvl w:val="0"/>
          <w:numId w:val="2"/>
        </w:numPr>
        <w:spacing w:after="120"/>
        <w:rPr>
          <w:sz w:val="18"/>
          <w:szCs w:val="18"/>
        </w:rPr>
      </w:pPr>
      <w:r w:rsidRPr="00A979B4">
        <w:rPr>
          <w:color w:val="1A1A2E"/>
          <w:sz w:val="18"/>
          <w:szCs w:val="18"/>
        </w:rPr>
        <w:t>V_t  = torch.autograd.grad(V, t, ...)    — first derivative w.r.t. time</w:t>
      </w:r>
    </w:p>
    <w:p w14:paraId="7E5111A3" w14:textId="77777777" w:rsidR="00332D3C" w:rsidRPr="00A979B4" w:rsidRDefault="00490B04">
      <w:pPr>
        <w:pStyle w:val="ListParagraph"/>
        <w:numPr>
          <w:ilvl w:val="0"/>
          <w:numId w:val="2"/>
        </w:numPr>
        <w:spacing w:after="120"/>
        <w:rPr>
          <w:sz w:val="18"/>
          <w:szCs w:val="18"/>
        </w:rPr>
      </w:pPr>
      <w:r w:rsidRPr="00A979B4">
        <w:rPr>
          <w:color w:val="1A1A2E"/>
          <w:sz w:val="18"/>
          <w:szCs w:val="18"/>
        </w:rPr>
        <w:t>V_S  = torch.autograd.grad(V, S, ...)    — first derivative w.r.t. stock price (Delta)</w:t>
      </w:r>
    </w:p>
    <w:p w14:paraId="7E5111A4" w14:textId="77777777" w:rsidR="00332D3C" w:rsidRPr="00A979B4" w:rsidRDefault="00490B04">
      <w:pPr>
        <w:pStyle w:val="ListParagraph"/>
        <w:numPr>
          <w:ilvl w:val="0"/>
          <w:numId w:val="2"/>
        </w:numPr>
        <w:spacing w:after="120"/>
        <w:rPr>
          <w:sz w:val="18"/>
          <w:szCs w:val="18"/>
        </w:rPr>
      </w:pPr>
      <w:r w:rsidRPr="00A979B4">
        <w:rPr>
          <w:color w:val="1A1A2E"/>
          <w:sz w:val="18"/>
          <w:szCs w:val="18"/>
        </w:rPr>
        <w:t>V_SS = torch.autograd.grad(V_S, S, ...)  — second derivative w.r.t. stock price (Gamma)</w:t>
      </w:r>
    </w:p>
    <w:p w14:paraId="7E5111A5" w14:textId="77777777" w:rsidR="00332D3C" w:rsidRPr="00A979B4" w:rsidRDefault="00332D3C">
      <w:pPr>
        <w:rPr>
          <w:sz w:val="18"/>
          <w:szCs w:val="18"/>
        </w:rPr>
      </w:pPr>
    </w:p>
    <w:p w14:paraId="03B500F8" w14:textId="00EFFDD5" w:rsidR="00A979B4" w:rsidRPr="00A979B4" w:rsidRDefault="00490B04" w:rsidP="00A979B4">
      <w:pPr>
        <w:spacing w:after="160" w:line="320" w:lineRule="auto"/>
        <w:rPr>
          <w:color w:val="1A1A2E"/>
          <w:sz w:val="18"/>
          <w:szCs w:val="18"/>
        </w:rPr>
      </w:pPr>
      <w:r w:rsidRPr="00A979B4">
        <w:rPr>
          <w:color w:val="1A1A2E"/>
          <w:sz w:val="18"/>
          <w:szCs w:val="18"/>
        </w:rPr>
        <w:t>The create_graph</w:t>
      </w:r>
      <w:r w:rsidR="00AB0738">
        <w:rPr>
          <w:color w:val="1A1A2E"/>
          <w:sz w:val="18"/>
          <w:szCs w:val="18"/>
        </w:rPr>
        <w:t xml:space="preserve"> </w:t>
      </w:r>
      <w:r w:rsidRPr="00A979B4">
        <w:rPr>
          <w:color w:val="1A1A2E"/>
          <w:sz w:val="18"/>
          <w:szCs w:val="18"/>
        </w:rPr>
        <w:t>=True flag ensures that the gradient computation itself is differentiable, allowing the PDE residual (which involves these gradients) to be backpropagated through during training. This is the computational core that distinguishes PINNs from purely data-driven neural networks.</w:t>
      </w:r>
      <w:bookmarkStart w:id="18" w:name="_Toc229110959"/>
    </w:p>
    <w:p w14:paraId="7E5111A7" w14:textId="2B371198" w:rsidR="00332D3C" w:rsidRDefault="00490B04" w:rsidP="00A979B4">
      <w:pPr>
        <w:spacing w:after="160" w:line="320" w:lineRule="auto"/>
      </w:pPr>
      <w:r>
        <w:rPr>
          <w:b/>
          <w:bCs/>
          <w:color w:val="2E75B6"/>
          <w:sz w:val="32"/>
          <w:szCs w:val="32"/>
        </w:rPr>
        <w:t xml:space="preserve">4.8 </w:t>
      </w:r>
      <w:r>
        <w:rPr>
          <w:b/>
          <w:bCs/>
          <w:color w:val="2E75B6"/>
          <w:sz w:val="32"/>
          <w:szCs w:val="32"/>
        </w:rPr>
        <w:t>The Exact Black-Scholes Formula (Benchmark)</w:t>
      </w:r>
      <w:bookmarkEnd w:id="18"/>
    </w:p>
    <w:p w14:paraId="7E5111A8" w14:textId="77777777" w:rsidR="00332D3C" w:rsidRDefault="00490B04">
      <w:pPr>
        <w:spacing w:after="160" w:line="320" w:lineRule="auto"/>
      </w:pPr>
      <w:r>
        <w:rPr>
          <w:color w:val="1A1A2E"/>
        </w:rPr>
        <w:t>A</w:t>
      </w:r>
      <w:r>
        <w:rPr>
          <w:color w:val="1A1A2E"/>
        </w:rPr>
        <w:t>ll PINN results are benchmarked against the analytical Black-Scholes formula for European call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2D3C" w14:paraId="7E5111AB" w14:textId="77777777">
        <w:tblPrEx>
          <w:tblCellMar>
            <w:top w:w="0" w:type="dxa"/>
            <w:bottom w:w="0" w:type="dxa"/>
          </w:tblCellMar>
        </w:tblPrEx>
        <w:tc>
          <w:tcPr>
            <w:tcW w:w="9360" w:type="dxa"/>
            <w:tcBorders>
              <w:top w:val="single" w:sz="1" w:space="0" w:color="A0C4E8"/>
              <w:left w:val="single" w:sz="1" w:space="0" w:color="A0C4E8"/>
              <w:bottom w:val="single" w:sz="1" w:space="0" w:color="A0C4E8"/>
              <w:right w:val="single" w:sz="1" w:space="0" w:color="A0C4E8"/>
            </w:tcBorders>
            <w:shd w:val="clear" w:color="auto" w:fill="EBF3FB"/>
            <w:tcMar>
              <w:top w:w="160" w:type="dxa"/>
              <w:left w:w="200" w:type="dxa"/>
              <w:bottom w:w="160" w:type="dxa"/>
              <w:right w:w="200" w:type="dxa"/>
            </w:tcMar>
          </w:tcPr>
          <w:p w14:paraId="7E5111A9" w14:textId="5CB87395" w:rsidR="00332D3C" w:rsidRDefault="00490B04">
            <w:pPr>
              <w:spacing w:after="80"/>
            </w:pPr>
            <w:r>
              <w:rPr>
                <w:b/>
                <w:bCs/>
                <w:color w:val="2E75B6"/>
              </w:rPr>
              <w:t>Analytical Black-Scholes Formula</w:t>
            </w:r>
            <w:r w:rsidR="00AB0738">
              <w:rPr>
                <w:b/>
                <w:bCs/>
                <w:color w:val="2E75B6"/>
              </w:rPr>
              <w:t xml:space="preserve">: </w:t>
            </w:r>
          </w:p>
          <w:p w14:paraId="7E5111AA" w14:textId="56AACF29" w:rsidR="00332D3C" w:rsidRDefault="001D3F7E">
            <w:r w:rsidRPr="001D3F7E">
              <w:drawing>
                <wp:inline distT="0" distB="0" distL="0" distR="0" wp14:anchorId="71DA4104" wp14:editId="5CFD3096">
                  <wp:extent cx="4976291" cy="624894"/>
                  <wp:effectExtent l="0" t="0" r="0" b="3810"/>
                  <wp:docPr id="193770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02201" name=""/>
                          <pic:cNvPicPr/>
                        </pic:nvPicPr>
                        <pic:blipFill>
                          <a:blip r:embed="rId16"/>
                          <a:stretch>
                            <a:fillRect/>
                          </a:stretch>
                        </pic:blipFill>
                        <pic:spPr>
                          <a:xfrm>
                            <a:off x="0" y="0"/>
                            <a:ext cx="4976291" cy="624894"/>
                          </a:xfrm>
                          <a:prstGeom prst="rect">
                            <a:avLst/>
                          </a:prstGeom>
                        </pic:spPr>
                      </pic:pic>
                    </a:graphicData>
                  </a:graphic>
                </wp:inline>
              </w:drawing>
            </w:r>
          </w:p>
        </w:tc>
      </w:tr>
    </w:tbl>
    <w:p w14:paraId="7E5111AC" w14:textId="77777777" w:rsidR="00332D3C" w:rsidRDefault="00332D3C"/>
    <w:p w14:paraId="7E5111AD" w14:textId="77777777" w:rsidR="00332D3C" w:rsidRDefault="00490B04">
      <w:r>
        <w:br w:type="page"/>
      </w:r>
    </w:p>
    <w:p w14:paraId="7E5111AE" w14:textId="77777777" w:rsidR="00332D3C" w:rsidRDefault="00490B04">
      <w:pPr>
        <w:pStyle w:val="Heading1"/>
      </w:pPr>
      <w:bookmarkStart w:id="19" w:name="_Toc229110960"/>
      <w:r>
        <w:lastRenderedPageBreak/>
        <w:t>5. Simulation Results and Visualisations</w:t>
      </w:r>
      <w:bookmarkEnd w:id="19"/>
    </w:p>
    <w:p w14:paraId="7E5111AF" w14:textId="77777777" w:rsidR="00332D3C" w:rsidRDefault="00332D3C">
      <w:pPr>
        <w:pBdr>
          <w:bottom w:val="single" w:sz="6" w:space="1" w:color="2E75B6"/>
        </w:pBdr>
        <w:spacing w:after="160"/>
      </w:pPr>
    </w:p>
    <w:p w14:paraId="7E5111B0" w14:textId="77777777" w:rsidR="00332D3C" w:rsidRDefault="00490B04">
      <w:pPr>
        <w:spacing w:after="160" w:line="320" w:lineRule="auto"/>
      </w:pPr>
      <w:r>
        <w:rPr>
          <w:color w:val="1A1A2E"/>
        </w:rPr>
        <w:t>All visualisations were generated after training the PINN on 197,000+ real (S, σ) data points drawn from 50 NSE stocks. The median annualised volatility across this dataset is σ = 0.298 (≈ 29.8%), which serves as the primary evaluation point.</w:t>
      </w:r>
    </w:p>
    <w:p w14:paraId="7E5111B1" w14:textId="06071378" w:rsidR="00332D3C" w:rsidRDefault="00490B04">
      <w:pPr>
        <w:pStyle w:val="Heading2"/>
      </w:pPr>
      <w:bookmarkStart w:id="20" w:name="_Toc229110961"/>
      <w:r>
        <w:t xml:space="preserve">5.1 </w:t>
      </w:r>
      <w:r>
        <w:t>PINN Prediction vs. Exact Black-Scholes (3D Surface)</w:t>
      </w:r>
      <w:bookmarkEnd w:id="20"/>
    </w:p>
    <w:p w14:paraId="7E5111B2" w14:textId="77777777" w:rsidR="00332D3C" w:rsidRDefault="00490B04">
      <w:pPr>
        <w:spacing w:before="200" w:after="80"/>
        <w:jc w:val="center"/>
      </w:pPr>
      <w:r>
        <w:rPr>
          <w:noProof/>
        </w:rPr>
        <w:drawing>
          <wp:inline distT="0" distB="0" distL="0" distR="0" wp14:anchorId="7E51125B" wp14:editId="7E51125C">
            <wp:extent cx="5715000" cy="2952750"/>
            <wp:effectExtent l="0" t="0" r="0" b="0"/>
            <wp:docPr id="1" name="3D Option Price Surface: PINN Prediction (left) vs. Exact Black-Scholes Solution (right) at σ = 0.298" descr="3D Option Price Surface: PINN Prediction (left) vs. Exact Black-Scholes Solution (right) at σ = 0.298" title="3D Option Price Surface: PINN Prediction (left) vs. Exact Black-Scholes Solution (right) at σ = 0.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952750"/>
                    </a:xfrm>
                    <a:prstGeom prst="rect">
                      <a:avLst/>
                    </a:prstGeom>
                  </pic:spPr>
                </pic:pic>
              </a:graphicData>
            </a:graphic>
          </wp:inline>
        </w:drawing>
      </w:r>
    </w:p>
    <w:p w14:paraId="7E5111B3" w14:textId="77777777" w:rsidR="00332D3C" w:rsidRDefault="00490B04">
      <w:pPr>
        <w:spacing w:after="240"/>
        <w:jc w:val="center"/>
      </w:pPr>
      <w:r>
        <w:rPr>
          <w:i/>
          <w:iCs/>
          <w:color w:val="555555"/>
          <w:sz w:val="18"/>
          <w:szCs w:val="18"/>
        </w:rPr>
        <w:t>Figure: 3D Option Price Surface: PINN Prediction (left) vs. Exact Black-Scholes Solution (right) at σ = 0.298</w:t>
      </w:r>
    </w:p>
    <w:p w14:paraId="7E5111B4" w14:textId="77777777" w:rsidR="00332D3C" w:rsidRDefault="00490B04">
      <w:pPr>
        <w:spacing w:after="160" w:line="320" w:lineRule="auto"/>
      </w:pPr>
      <w:r>
        <w:rPr>
          <w:color w:val="1A1A2E"/>
        </w:rPr>
        <w:t>The two 3D surfaces show the option price V as a function of stock price S (0 to 3) and time t (0 to 1 year) at the real-data median volatility σ = 0.298.</w:t>
      </w:r>
    </w:p>
    <w:p w14:paraId="7E5111B5" w14:textId="77777777" w:rsidR="00332D3C" w:rsidRDefault="00490B04">
      <w:pPr>
        <w:spacing w:after="160" w:line="320" w:lineRule="auto"/>
      </w:pPr>
      <w:r>
        <w:rPr>
          <w:b/>
          <w:bCs/>
          <w:color w:val="1A1A2E"/>
        </w:rPr>
        <w:t xml:space="preserve">Left Panel (PINN Prediction): </w:t>
      </w:r>
      <w:r>
        <w:rPr>
          <w:color w:val="1A1A2E"/>
        </w:rPr>
        <w:t>The PINN surface is smooth and well-behaved across the entire domain. At S = 0 (bankrupt stock), V correctly collapses to 0. At S = 3 (deep in the money), V asymptotes toward the intrinsic value line S – K. The smooth gradient visible as S crosses the strike K = 1.0 reflects the correct pricing of time value.</w:t>
      </w:r>
    </w:p>
    <w:p w14:paraId="7E5111B6" w14:textId="77777777" w:rsidR="00332D3C" w:rsidRDefault="00490B04">
      <w:pPr>
        <w:spacing w:after="160" w:line="320" w:lineRule="auto"/>
      </w:pPr>
      <w:r>
        <w:rPr>
          <w:b/>
          <w:bCs/>
          <w:color w:val="1A1A2E"/>
        </w:rPr>
        <w:t xml:space="preserve">Right Panel (Exact B-S Solution): </w:t>
      </w:r>
      <w:r>
        <w:rPr>
          <w:color w:val="1A1A2E"/>
        </w:rPr>
        <w:t>The analytical surface is structurally identical to the PINN surface — the colour gradients, shape of the cusp at K = 1.0, and the overall level of V across (S, t) are highly consistent. The primary visual difference is the colour palette (viridis vs. plasma), not the values.</w:t>
      </w:r>
    </w:p>
    <w:p w14:paraId="7E5111B7" w14:textId="77777777" w:rsidR="00332D3C" w:rsidRDefault="00490B04">
      <w:pPr>
        <w:spacing w:after="160" w:line="320" w:lineRule="auto"/>
      </w:pPr>
      <w:r>
        <w:rPr>
          <w:b/>
          <w:bCs/>
          <w:color w:val="2E75B6"/>
        </w:rPr>
        <w:t xml:space="preserve">Key Conclusion: </w:t>
      </w:r>
      <w:r>
        <w:rPr>
          <w:color w:val="1A1A2E"/>
        </w:rPr>
        <w:t xml:space="preserve">The PINN has learned the global structure of the Black-Scholes solution surface from physics constraints alone — no labelled option prices were provided during </w:t>
      </w:r>
      <w:r>
        <w:rPr>
          <w:color w:val="1A1A2E"/>
        </w:rPr>
        <w:lastRenderedPageBreak/>
        <w:t>training. The near-identical 3D shapes confirm that the network has successfully satisfied the PDE, boundary conditions, and terminal payoff simultaneously.</w:t>
      </w:r>
    </w:p>
    <w:p w14:paraId="7E5111B8" w14:textId="4D12A74F" w:rsidR="00332D3C" w:rsidRDefault="00490B04">
      <w:pPr>
        <w:pStyle w:val="Heading2"/>
      </w:pPr>
      <w:bookmarkStart w:id="21" w:name="_Toc229110962"/>
      <w:r>
        <w:t xml:space="preserve">5.2 </w:t>
      </w:r>
      <w:r>
        <w:t>Absolute Error Heatmap</w:t>
      </w:r>
      <w:bookmarkEnd w:id="21"/>
    </w:p>
    <w:p w14:paraId="7E5111B9" w14:textId="77777777" w:rsidR="00332D3C" w:rsidRDefault="00490B04">
      <w:pPr>
        <w:spacing w:before="200" w:after="80"/>
        <w:jc w:val="center"/>
      </w:pPr>
      <w:r>
        <w:rPr>
          <w:noProof/>
        </w:rPr>
        <w:drawing>
          <wp:inline distT="0" distB="0" distL="0" distR="0" wp14:anchorId="7E51125D" wp14:editId="7E51125E">
            <wp:extent cx="3333750" cy="2762250"/>
            <wp:effectExtent l="0" t="0" r="0" b="0"/>
            <wp:docPr id="1859955257" name="Absolute Error Heatmap |V_PINN – V_exact| across the (t, S) domain at σ = 0.298" descr="Absolute Error Heatmap |V_PINN – V_exact| across the (t, S) domain at σ = 0.298" title="Absolute Error Heatmap |V_PINN – V_exact| across the (t, S) domain at σ = 0.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333750" cy="2762250"/>
                    </a:xfrm>
                    <a:prstGeom prst="rect">
                      <a:avLst/>
                    </a:prstGeom>
                  </pic:spPr>
                </pic:pic>
              </a:graphicData>
            </a:graphic>
          </wp:inline>
        </w:drawing>
      </w:r>
    </w:p>
    <w:p w14:paraId="7E5111BA" w14:textId="77777777" w:rsidR="00332D3C" w:rsidRDefault="00490B04">
      <w:pPr>
        <w:spacing w:after="240"/>
        <w:jc w:val="center"/>
      </w:pPr>
      <w:r>
        <w:rPr>
          <w:i/>
          <w:iCs/>
          <w:color w:val="555555"/>
          <w:sz w:val="18"/>
          <w:szCs w:val="18"/>
        </w:rPr>
        <w:t>Figure: Absolute Error Heatmap |V_PINN – V_exact| across the (t, S) domain at σ = 0.298</w:t>
      </w:r>
    </w:p>
    <w:p w14:paraId="7E5111BB" w14:textId="77777777" w:rsidR="00332D3C" w:rsidRDefault="00490B04">
      <w:pPr>
        <w:spacing w:after="160" w:line="320" w:lineRule="auto"/>
      </w:pPr>
      <w:r>
        <w:rPr>
          <w:color w:val="1A1A2E"/>
        </w:rPr>
        <w:t>This heatmap shows the pointwise absolute deviation between the PINN and the exact analytical formula at every (t, S) combination. Red indicates higher error; white indicates near-perfect agreement.</w:t>
      </w:r>
    </w:p>
    <w:p w14:paraId="7E5111BC" w14:textId="77777777" w:rsidR="00332D3C" w:rsidRDefault="00490B04">
      <w:pPr>
        <w:pStyle w:val="ListParagraph"/>
        <w:numPr>
          <w:ilvl w:val="0"/>
          <w:numId w:val="2"/>
        </w:numPr>
        <w:spacing w:after="120"/>
      </w:pPr>
      <w:r>
        <w:rPr>
          <w:color w:val="1A1A2E"/>
        </w:rPr>
        <w:t>Maximum absolute error: ~0.042 (occurring at very early time t ≈ 0.05 and deep in-the-money S ≈ 2.8–3.0).</w:t>
      </w:r>
    </w:p>
    <w:p w14:paraId="7E5111BD" w14:textId="77777777" w:rsidR="00332D3C" w:rsidRDefault="00490B04">
      <w:pPr>
        <w:pStyle w:val="ListParagraph"/>
        <w:numPr>
          <w:ilvl w:val="0"/>
          <w:numId w:val="2"/>
        </w:numPr>
        <w:spacing w:after="120"/>
      </w:pPr>
      <w:r>
        <w:rPr>
          <w:color w:val="1A1A2E"/>
        </w:rPr>
        <w:t>Average error across the domain: well below 0.010, confirming high global accuracy.</w:t>
      </w:r>
    </w:p>
    <w:p w14:paraId="7E5111BE" w14:textId="77777777" w:rsidR="00332D3C" w:rsidRDefault="00490B04">
      <w:pPr>
        <w:pStyle w:val="ListParagraph"/>
        <w:numPr>
          <w:ilvl w:val="0"/>
          <w:numId w:val="2"/>
        </w:numPr>
        <w:spacing w:after="120"/>
      </w:pPr>
      <w:r>
        <w:rPr>
          <w:color w:val="1A1A2E"/>
        </w:rPr>
        <w:t>Strike price region (dashed line at S = 1.0): very low error around K = 1.0, indicating the model correctly captures the kink in the payoff function.</w:t>
      </w:r>
    </w:p>
    <w:p w14:paraId="7E5111BF" w14:textId="77777777" w:rsidR="00332D3C" w:rsidRDefault="00490B04">
      <w:pPr>
        <w:pStyle w:val="ListParagraph"/>
        <w:numPr>
          <w:ilvl w:val="0"/>
          <w:numId w:val="2"/>
        </w:numPr>
        <w:spacing w:after="120"/>
      </w:pPr>
      <w:r>
        <w:rPr>
          <w:color w:val="1A1A2E"/>
        </w:rPr>
        <w:t>Near-expiry (t → 1.0): error decreases substantially as the terminal condition dominates and the payoff structure becomes simpler.</w:t>
      </w:r>
    </w:p>
    <w:p w14:paraId="7E5111C0" w14:textId="77777777" w:rsidR="00332D3C" w:rsidRDefault="00332D3C"/>
    <w:p w14:paraId="7E5111C1" w14:textId="77777777" w:rsidR="00332D3C" w:rsidRDefault="00490B04">
      <w:pPr>
        <w:spacing w:after="160" w:line="320" w:lineRule="auto"/>
        <w:rPr>
          <w:color w:val="1A1A2E"/>
        </w:rPr>
      </w:pPr>
      <w:r>
        <w:rPr>
          <w:b/>
          <w:bCs/>
          <w:color w:val="2E75B6"/>
        </w:rPr>
        <w:t xml:space="preserve">Key Conclusion: </w:t>
      </w:r>
      <w:r>
        <w:rPr>
          <w:color w:val="1A1A2E"/>
        </w:rPr>
        <w:t>The largest errors are concentrated at the upper-left corner (early time, high stock price), which is the region where the time value of money matters most and the solution is most sensitive to small changes in parameters. Despite this, errors are of order 10⁻² — small relative to option prices of order 1–2 in this region.</w:t>
      </w:r>
    </w:p>
    <w:p w14:paraId="64D6F128" w14:textId="77777777" w:rsidR="00A979B4" w:rsidRDefault="00A979B4">
      <w:pPr>
        <w:spacing w:after="160" w:line="320" w:lineRule="auto"/>
        <w:rPr>
          <w:color w:val="1A1A2E"/>
        </w:rPr>
      </w:pPr>
    </w:p>
    <w:p w14:paraId="6CDB4F55" w14:textId="77777777" w:rsidR="00A979B4" w:rsidRDefault="00A979B4">
      <w:pPr>
        <w:spacing w:after="160" w:line="320" w:lineRule="auto"/>
      </w:pPr>
    </w:p>
    <w:p w14:paraId="7E5111C2" w14:textId="5FA9540B" w:rsidR="00332D3C" w:rsidRDefault="00490B04">
      <w:pPr>
        <w:pStyle w:val="Heading2"/>
      </w:pPr>
      <w:bookmarkStart w:id="22" w:name="_Toc229110963"/>
      <w:r>
        <w:lastRenderedPageBreak/>
        <w:t xml:space="preserve">5.3 </w:t>
      </w:r>
      <w:r>
        <w:t>Time-Slice Comparison: PINN vs. Exact</w:t>
      </w:r>
      <w:bookmarkEnd w:id="22"/>
    </w:p>
    <w:p w14:paraId="7E5111C3" w14:textId="77777777" w:rsidR="00332D3C" w:rsidRDefault="00490B04">
      <w:pPr>
        <w:spacing w:before="200" w:after="80"/>
        <w:jc w:val="center"/>
      </w:pPr>
      <w:r>
        <w:rPr>
          <w:noProof/>
        </w:rPr>
        <w:drawing>
          <wp:inline distT="0" distB="0" distL="0" distR="0" wp14:anchorId="7E51125F" wp14:editId="7E511260">
            <wp:extent cx="4381500" cy="2857500"/>
            <wp:effectExtent l="0" t="0" r="0" b="0"/>
            <wp:docPr id="61117293" name="Option Price vs. Stock Price at three time slices (t=0.0, 0.5, 0.99) — PINN (solid) vs. Exact (dash-dot) at σ = 0.298" descr="Option Price vs. Stock Price at three time slices (t=0.0, 0.5, 0.99) — PINN (solid) vs. Exact (dash-dot) at σ = 0.298" title="Option Price vs. Stock Price at three time slices (t=0.0, 0.5, 0.99) — PINN (solid) vs. Exact (dash-dot) at σ = 0.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2857500"/>
                    </a:xfrm>
                    <a:prstGeom prst="rect">
                      <a:avLst/>
                    </a:prstGeom>
                  </pic:spPr>
                </pic:pic>
              </a:graphicData>
            </a:graphic>
          </wp:inline>
        </w:drawing>
      </w:r>
    </w:p>
    <w:p w14:paraId="7E5111C4" w14:textId="77777777" w:rsidR="00332D3C" w:rsidRDefault="00490B04">
      <w:pPr>
        <w:spacing w:after="240"/>
        <w:jc w:val="center"/>
      </w:pPr>
      <w:r>
        <w:rPr>
          <w:i/>
          <w:iCs/>
          <w:color w:val="555555"/>
          <w:sz w:val="18"/>
          <w:szCs w:val="18"/>
        </w:rPr>
        <w:t>Figure: Option Price vs. Stock Price at three time slices (t=0.0, 0.5, 0.99) — PINN (solid) vs. Exact (dash-dot) at σ = 0.298</w:t>
      </w:r>
    </w:p>
    <w:p w14:paraId="7E5111C5" w14:textId="77777777" w:rsidR="00332D3C" w:rsidRDefault="00490B04">
      <w:pPr>
        <w:spacing w:after="160" w:line="320" w:lineRule="auto"/>
      </w:pPr>
      <w:r>
        <w:rPr>
          <w:color w:val="1A1A2E"/>
        </w:rPr>
        <w:t>This 2D plot overlays PINN predictions (thick semi-transparent solid lines) against analytical B-S prices (thin dash-dot lines) at three distinct times to maturity:</w:t>
      </w:r>
    </w:p>
    <w:p w14:paraId="7E5111C6" w14:textId="77777777" w:rsidR="00332D3C" w:rsidRDefault="00490B04">
      <w:pPr>
        <w:pStyle w:val="ListParagraph"/>
        <w:numPr>
          <w:ilvl w:val="0"/>
          <w:numId w:val="2"/>
        </w:numPr>
        <w:spacing w:after="120"/>
      </w:pPr>
      <w:r>
        <w:rPr>
          <w:color w:val="1A1A2E"/>
        </w:rPr>
        <w:t>t = 0.0 (Blue): Furthest from expiry — highest time value. The option price is well above the intrinsic payoff line (black dashed). PINN matches closely.</w:t>
      </w:r>
    </w:p>
    <w:p w14:paraId="7E5111C7" w14:textId="77777777" w:rsidR="00332D3C" w:rsidRDefault="00490B04">
      <w:pPr>
        <w:pStyle w:val="ListParagraph"/>
        <w:numPr>
          <w:ilvl w:val="0"/>
          <w:numId w:val="2"/>
        </w:numPr>
        <w:spacing w:after="120"/>
      </w:pPr>
      <w:r>
        <w:rPr>
          <w:color w:val="1A1A2E"/>
        </w:rPr>
        <w:t>t = 0.5 (Orange): Midpoint — moderate time value. The PINN curve sits between the t=0 and t=0.99 curves as expected, matching the exact formula.</w:t>
      </w:r>
    </w:p>
    <w:p w14:paraId="7E5111C8" w14:textId="77777777" w:rsidR="00332D3C" w:rsidRDefault="00490B04">
      <w:pPr>
        <w:pStyle w:val="ListParagraph"/>
        <w:numPr>
          <w:ilvl w:val="0"/>
          <w:numId w:val="2"/>
        </w:numPr>
        <w:spacing w:after="120"/>
      </w:pPr>
      <w:r>
        <w:rPr>
          <w:color w:val="1A1A2E"/>
        </w:rPr>
        <w:t>t = 0.99 (Red): Near expiry — the option price collapses toward the payoff max(S–K, 0). PINN correctly captures this convergence.</w:t>
      </w:r>
    </w:p>
    <w:p w14:paraId="7E5111C9" w14:textId="77777777" w:rsidR="00332D3C" w:rsidRDefault="00332D3C"/>
    <w:p w14:paraId="7E5111CA" w14:textId="77777777" w:rsidR="00332D3C" w:rsidRDefault="00490B04">
      <w:pPr>
        <w:spacing w:after="160" w:line="320" w:lineRule="auto"/>
      </w:pPr>
      <w:r>
        <w:rPr>
          <w:b/>
          <w:bCs/>
          <w:color w:val="2E75B6"/>
        </w:rPr>
        <w:t xml:space="preserve">Key Conclusion: </w:t>
      </w:r>
      <w:r>
        <w:rPr>
          <w:color w:val="1A1A2E"/>
        </w:rPr>
        <w:t>Across all three time slices, PINN lines are essentially indistinguishable from the exact lines at the scale of the plot. The model correctly reproduces the time decay of option value — a non-trivial dynamic that emerges purely from the physics-informed loss, not from labelled data.</w:t>
      </w:r>
    </w:p>
    <w:p w14:paraId="1ACD841F" w14:textId="77777777" w:rsidR="00A979B4" w:rsidRDefault="00A979B4">
      <w:pPr>
        <w:pStyle w:val="Heading2"/>
      </w:pPr>
      <w:bookmarkStart w:id="23" w:name="_Toc229110964"/>
    </w:p>
    <w:p w14:paraId="47C68445" w14:textId="77777777" w:rsidR="00A979B4" w:rsidRDefault="00A979B4">
      <w:pPr>
        <w:pStyle w:val="Heading2"/>
      </w:pPr>
    </w:p>
    <w:p w14:paraId="48335F4B" w14:textId="77777777" w:rsidR="00A979B4" w:rsidRDefault="00A979B4">
      <w:pPr>
        <w:pStyle w:val="Heading2"/>
      </w:pPr>
    </w:p>
    <w:p w14:paraId="030C82AE" w14:textId="77777777" w:rsidR="00A979B4" w:rsidRDefault="00A979B4">
      <w:pPr>
        <w:pStyle w:val="Heading2"/>
      </w:pPr>
    </w:p>
    <w:p w14:paraId="7E5111CB" w14:textId="11FDF84C" w:rsidR="00332D3C" w:rsidRDefault="00490B04">
      <w:pPr>
        <w:pStyle w:val="Heading2"/>
      </w:pPr>
      <w:r>
        <w:lastRenderedPageBreak/>
        <w:t xml:space="preserve">5.4 </w:t>
      </w:r>
      <w:r>
        <w:t>Option Delta (Greeks) Computation</w:t>
      </w:r>
      <w:bookmarkEnd w:id="23"/>
    </w:p>
    <w:p w14:paraId="7E5111CC" w14:textId="77777777" w:rsidR="00332D3C" w:rsidRDefault="00490B04">
      <w:pPr>
        <w:spacing w:before="200" w:after="80"/>
        <w:jc w:val="center"/>
      </w:pPr>
      <w:r>
        <w:rPr>
          <w:noProof/>
        </w:rPr>
        <w:drawing>
          <wp:inline distT="0" distB="0" distL="0" distR="0" wp14:anchorId="7E511261" wp14:editId="7E511262">
            <wp:extent cx="4381500" cy="2857500"/>
            <wp:effectExtent l="0" t="0" r="0" b="0"/>
            <wp:docPr id="2100869362" name="Option Delta Δ = ∂V/∂S at t=0 — PINN (purple solid) vs. Exact Analytical (black dashed) at σ = 0.298" descr="Option Delta Δ = ∂V/∂S at t=0 — PINN (purple solid) vs. Exact Analytical (black dashed) at σ = 0.298" title="Option Delta Δ = ∂V/∂S at t=0 — PINN (purple solid) vs. Exact Analytical (black dashed) at σ = 0.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857500"/>
                    </a:xfrm>
                    <a:prstGeom prst="rect">
                      <a:avLst/>
                    </a:prstGeom>
                  </pic:spPr>
                </pic:pic>
              </a:graphicData>
            </a:graphic>
          </wp:inline>
        </w:drawing>
      </w:r>
    </w:p>
    <w:p w14:paraId="7E5111CD" w14:textId="77777777" w:rsidR="00332D3C" w:rsidRDefault="00490B04">
      <w:pPr>
        <w:spacing w:after="240"/>
        <w:jc w:val="center"/>
      </w:pPr>
      <w:r>
        <w:rPr>
          <w:i/>
          <w:iCs/>
          <w:color w:val="555555"/>
          <w:sz w:val="18"/>
          <w:szCs w:val="18"/>
        </w:rPr>
        <w:t>Figure: Option Delta Δ = ∂V/∂S at t=0 — PINN (purple solid) vs. Exact Analytical (black dashed) at σ = 0.298</w:t>
      </w:r>
    </w:p>
    <w:p w14:paraId="7E5111CE" w14:textId="77777777" w:rsidR="00332D3C" w:rsidRDefault="00490B04">
      <w:pPr>
        <w:spacing w:after="160" w:line="320" w:lineRule="auto"/>
      </w:pPr>
      <w:r>
        <w:rPr>
          <w:color w:val="1A1A2E"/>
        </w:rPr>
        <w:t>Delta measures the sensitivity of the option price to a unit change in the underlying stock price. It is a critical Greek for hedging strategies. PINN computes it via automatic differentiation — no finite differences, no re-solving.</w:t>
      </w:r>
    </w:p>
    <w:p w14:paraId="7E5111CF" w14:textId="77777777" w:rsidR="00332D3C" w:rsidRDefault="00490B04">
      <w:pPr>
        <w:pStyle w:val="ListParagraph"/>
        <w:numPr>
          <w:ilvl w:val="0"/>
          <w:numId w:val="2"/>
        </w:numPr>
        <w:spacing w:after="120"/>
      </w:pPr>
      <w:r>
        <w:rPr>
          <w:color w:val="1A1A2E"/>
        </w:rPr>
        <w:t>For deep out-of-the-money (S &lt;&lt; K = 1.0): Delta ≈ 0 — the option is unlikely to finish in the money.</w:t>
      </w:r>
    </w:p>
    <w:p w14:paraId="7E5111D0" w14:textId="77777777" w:rsidR="00332D3C" w:rsidRDefault="00490B04">
      <w:pPr>
        <w:pStyle w:val="ListParagraph"/>
        <w:numPr>
          <w:ilvl w:val="0"/>
          <w:numId w:val="2"/>
        </w:numPr>
        <w:spacing w:after="120"/>
      </w:pPr>
      <w:r>
        <w:rPr>
          <w:color w:val="1A1A2E"/>
        </w:rPr>
        <w:t>For at-the-money (S ≈ 1.0): Delta rises steeply through ~0.5.</w:t>
      </w:r>
    </w:p>
    <w:p w14:paraId="7E5111D1" w14:textId="77777777" w:rsidR="00332D3C" w:rsidRDefault="00490B04">
      <w:pPr>
        <w:pStyle w:val="ListParagraph"/>
        <w:numPr>
          <w:ilvl w:val="0"/>
          <w:numId w:val="2"/>
        </w:numPr>
        <w:spacing w:after="120"/>
      </w:pPr>
      <w:r>
        <w:rPr>
          <w:color w:val="1A1A2E"/>
        </w:rPr>
        <w:t>For deep in-the-money (S &gt;&gt; K): Delta → 1.0 — the option behaves like the stock.</w:t>
      </w:r>
    </w:p>
    <w:p w14:paraId="7E5111D2" w14:textId="77777777" w:rsidR="00332D3C" w:rsidRDefault="00332D3C"/>
    <w:p w14:paraId="7E5111D3" w14:textId="77777777" w:rsidR="00332D3C" w:rsidRDefault="00490B04">
      <w:pPr>
        <w:spacing w:after="160" w:line="320" w:lineRule="auto"/>
      </w:pPr>
      <w:r>
        <w:rPr>
          <w:b/>
          <w:bCs/>
          <w:color w:val="1A1A2E"/>
        </w:rPr>
        <w:t xml:space="preserve">Minor deviation at very low S (0 &lt; S &lt; 0.5): </w:t>
      </w:r>
      <w:r>
        <w:rPr>
          <w:color w:val="1A1A2E"/>
        </w:rPr>
        <w:t>The PINN Delta dips slightly negative near S = 0, deviating from the exact N(d₁) which stays near 0. This is a known boundary artifact — the PINN has less data in this region since real stock prices rarely approach zero.</w:t>
      </w:r>
    </w:p>
    <w:p w14:paraId="7E5111D4" w14:textId="77777777" w:rsidR="00332D3C" w:rsidRDefault="00490B04">
      <w:pPr>
        <w:spacing w:after="160" w:line="320" w:lineRule="auto"/>
        <w:rPr>
          <w:color w:val="1A1A2E"/>
        </w:rPr>
      </w:pPr>
      <w:r>
        <w:rPr>
          <w:b/>
          <w:bCs/>
          <w:color w:val="2E75B6"/>
        </w:rPr>
        <w:t xml:space="preserve">Key Conclusion: </w:t>
      </w:r>
      <w:r>
        <w:rPr>
          <w:color w:val="1A1A2E"/>
        </w:rPr>
        <w:t>The PINN can compute Greeks analytically via autograd — a major practical advantage over finite-difference methods which require separate expensive solves for each Greek. The overall agreement with exact Delta is excellent for S &gt; 0.5, covering virtually all economically relevant pricing scenarios.</w:t>
      </w:r>
    </w:p>
    <w:p w14:paraId="3146CA50" w14:textId="77777777" w:rsidR="00A979B4" w:rsidRDefault="00A979B4">
      <w:pPr>
        <w:spacing w:after="160" w:line="320" w:lineRule="auto"/>
        <w:rPr>
          <w:color w:val="1A1A2E"/>
        </w:rPr>
      </w:pPr>
    </w:p>
    <w:p w14:paraId="490C717E" w14:textId="77777777" w:rsidR="00A979B4" w:rsidRDefault="00A979B4">
      <w:pPr>
        <w:spacing w:after="160" w:line="320" w:lineRule="auto"/>
        <w:rPr>
          <w:color w:val="1A1A2E"/>
        </w:rPr>
      </w:pPr>
    </w:p>
    <w:p w14:paraId="769D7B6F" w14:textId="77777777" w:rsidR="00A979B4" w:rsidRDefault="00A979B4">
      <w:pPr>
        <w:spacing w:after="160" w:line="320" w:lineRule="auto"/>
      </w:pPr>
    </w:p>
    <w:p w14:paraId="7E5111D5" w14:textId="1C4E4ADD" w:rsidR="00332D3C" w:rsidRDefault="00490B04">
      <w:pPr>
        <w:pStyle w:val="Heading2"/>
      </w:pPr>
      <w:bookmarkStart w:id="24" w:name="_Toc229110965"/>
      <w:r>
        <w:lastRenderedPageBreak/>
        <w:t xml:space="preserve">5.5 </w:t>
      </w:r>
      <w:r>
        <w:t>Pricing Across Real Volatility Regimes</w:t>
      </w:r>
      <w:bookmarkEnd w:id="24"/>
    </w:p>
    <w:p w14:paraId="7E5111D6" w14:textId="77777777" w:rsidR="00332D3C" w:rsidRDefault="00490B04">
      <w:pPr>
        <w:spacing w:before="200" w:after="80"/>
        <w:jc w:val="center"/>
      </w:pPr>
      <w:r>
        <w:rPr>
          <w:noProof/>
        </w:rPr>
        <w:drawing>
          <wp:inline distT="0" distB="0" distL="0" distR="0" wp14:anchorId="7E511263" wp14:editId="7E511264">
            <wp:extent cx="4381500" cy="2762250"/>
            <wp:effectExtent l="0" t="0" r="0" b="0"/>
            <wp:docPr id="1773308202" name="Option Price across real volatility regimes (10th, 33rd, 66th, 90th percentiles of NSE data) at t = 0" descr="Option Price across real volatility regimes (10th, 33rd, 66th, 90th percentiles of NSE data) at t = 0" title="Option Price across real volatility regimes (10th, 33rd, 66th, 90th percentiles of NSE data) at t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2762250"/>
                    </a:xfrm>
                    <a:prstGeom prst="rect">
                      <a:avLst/>
                    </a:prstGeom>
                  </pic:spPr>
                </pic:pic>
              </a:graphicData>
            </a:graphic>
          </wp:inline>
        </w:drawing>
      </w:r>
    </w:p>
    <w:p w14:paraId="7E5111D7" w14:textId="77777777" w:rsidR="00332D3C" w:rsidRDefault="00490B04">
      <w:pPr>
        <w:spacing w:after="240"/>
        <w:jc w:val="center"/>
      </w:pPr>
      <w:r>
        <w:rPr>
          <w:i/>
          <w:iCs/>
          <w:color w:val="555555"/>
          <w:sz w:val="18"/>
          <w:szCs w:val="18"/>
        </w:rPr>
        <w:t>Figure: Option Price across real volatility regimes (10th, 33rd, 66th, 90th percentiles of NSE data) at t = 0</w:t>
      </w:r>
    </w:p>
    <w:p w14:paraId="7E5111D8" w14:textId="77777777" w:rsidR="00332D3C" w:rsidRDefault="00490B04">
      <w:pPr>
        <w:spacing w:after="160" w:line="320" w:lineRule="auto"/>
      </w:pPr>
      <w:r>
        <w:rPr>
          <w:color w:val="1A1A2E"/>
        </w:rPr>
        <w:t>This plot demonstrates the PINN's core advantage: it functions as a universal pricing engine. Four volatility levels drawn directly from the NSE return data are evaluated simultaneously: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32D3C" w14:paraId="7E5111D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5111D9" w14:textId="77777777" w:rsidR="00332D3C" w:rsidRDefault="00490B04">
            <w:r>
              <w:rPr>
                <w:b/>
                <w:bCs/>
                <w:color w:val="1B3A6B"/>
                <w:sz w:val="21"/>
                <w:szCs w:val="21"/>
              </w:rPr>
              <w:t>Volatility / Stock Profile</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5111DA" w14:textId="77777777" w:rsidR="00332D3C" w:rsidRDefault="00490B04">
            <w:r>
              <w:rPr>
                <w:b/>
                <w:bCs/>
                <w:color w:val="1B3A6B"/>
                <w:sz w:val="21"/>
                <w:szCs w:val="21"/>
              </w:rPr>
              <w:t>NSE Market Context</w:t>
            </w:r>
          </w:p>
        </w:tc>
      </w:tr>
      <w:tr w:rsidR="00332D3C" w14:paraId="7E5111D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DC" w14:textId="77777777" w:rsidR="00332D3C" w:rsidRDefault="00490B04">
            <w:r>
              <w:rPr>
                <w:color w:val="1A1A2E"/>
                <w:sz w:val="20"/>
                <w:szCs w:val="20"/>
              </w:rPr>
              <w:t>σ = 0.215 (p10 — Green)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DD" w14:textId="77777777" w:rsidR="00332D3C" w:rsidRDefault="00490B04">
            <w:r>
              <w:rPr>
                <w:color w:val="1A1A2E"/>
                <w:sz w:val="20"/>
                <w:szCs w:val="20"/>
              </w:rPr>
              <w:t>Low-volatility stable stocks (e.g., NESTLEIND, HINDUNILVR)</w:t>
            </w:r>
          </w:p>
        </w:tc>
      </w:tr>
      <w:tr w:rsidR="00332D3C" w14:paraId="7E5111E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DF" w14:textId="77777777" w:rsidR="00332D3C" w:rsidRDefault="00490B04">
            <w:r>
              <w:rPr>
                <w:color w:val="1A1A2E"/>
                <w:sz w:val="20"/>
                <w:szCs w:val="20"/>
              </w:rPr>
              <w:t>σ = 0.266 (p33 — Blue)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E0" w14:textId="77777777" w:rsidR="00332D3C" w:rsidRDefault="00490B04">
            <w:r>
              <w:rPr>
                <w:color w:val="1A1A2E"/>
                <w:sz w:val="20"/>
                <w:szCs w:val="20"/>
              </w:rPr>
              <w:t>Moderate-volatility blue-chips (e.g., HDFCBANK, TCS)</w:t>
            </w:r>
          </w:p>
        </w:tc>
      </w:tr>
      <w:tr w:rsidR="00332D3C" w14:paraId="7E5111E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E2" w14:textId="77777777" w:rsidR="00332D3C" w:rsidRDefault="00490B04">
            <w:r>
              <w:rPr>
                <w:color w:val="1A1A2E"/>
                <w:sz w:val="20"/>
                <w:szCs w:val="20"/>
              </w:rPr>
              <w:t>σ = 0.341 (p66 — Orange)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E3" w14:textId="77777777" w:rsidR="00332D3C" w:rsidRDefault="00490B04">
            <w:r>
              <w:rPr>
                <w:color w:val="1A1A2E"/>
                <w:sz w:val="20"/>
                <w:szCs w:val="20"/>
              </w:rPr>
              <w:t>Elevated-volatility mid-caps (e.g., AXISBANK, TECHM)</w:t>
            </w:r>
          </w:p>
        </w:tc>
      </w:tr>
      <w:tr w:rsidR="00332D3C" w14:paraId="7E5111E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E5" w14:textId="77777777" w:rsidR="00332D3C" w:rsidRDefault="00490B04">
            <w:r>
              <w:rPr>
                <w:color w:val="1A1A2E"/>
                <w:sz w:val="20"/>
                <w:szCs w:val="20"/>
              </w:rPr>
              <w:t>σ = 0.492 (p90 — Red)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E6" w14:textId="77777777" w:rsidR="00332D3C" w:rsidRDefault="00490B04">
            <w:r>
              <w:rPr>
                <w:color w:val="1A1A2E"/>
                <w:sz w:val="20"/>
                <w:szCs w:val="20"/>
              </w:rPr>
              <w:t>High-volatility stocks (e.g., MTNL, IDEA, RCOM)</w:t>
            </w:r>
          </w:p>
        </w:tc>
      </w:tr>
    </w:tbl>
    <w:p w14:paraId="7E5111E8" w14:textId="77777777" w:rsidR="00332D3C" w:rsidRDefault="00332D3C"/>
    <w:p w14:paraId="7E5111E9" w14:textId="77777777" w:rsidR="00332D3C" w:rsidRDefault="00490B04">
      <w:pPr>
        <w:spacing w:after="160" w:line="320" w:lineRule="auto"/>
      </w:pPr>
      <w:r>
        <w:rPr>
          <w:b/>
          <w:bCs/>
          <w:color w:val="1A1A2E"/>
        </w:rPr>
        <w:t xml:space="preserve">Interpretation: </w:t>
      </w:r>
      <w:r>
        <w:rPr>
          <w:color w:val="1A1A2E"/>
        </w:rPr>
        <w:t>Higher σ consistently produces a wider option price curve — the option is worth more when the underlying is more volatile, as there is a greater probability of finishing deep in the money. All four PINN curves are smooth and well-ordered. Critically, these four prices were computed in a single forward pass — no re-training or re-solving.</w:t>
      </w:r>
    </w:p>
    <w:p w14:paraId="7E5111EA" w14:textId="77777777" w:rsidR="00332D3C" w:rsidRDefault="00490B04">
      <w:pPr>
        <w:spacing w:after="160" w:line="320" w:lineRule="auto"/>
      </w:pPr>
      <w:r>
        <w:rPr>
          <w:b/>
          <w:bCs/>
          <w:color w:val="2E75B6"/>
        </w:rPr>
        <w:t xml:space="preserve">Key Conclusion: </w:t>
      </w:r>
      <w:r>
        <w:rPr>
          <w:color w:val="1A1A2E"/>
        </w:rPr>
        <w:t>The PINN's ability to treat σ as a continuous input dimension — rather than a fixed parameter — is a fundamental departure from classical methods. This single trained model subsumes an entire library of B-S solutions across the full volatility surface.</w:t>
      </w:r>
    </w:p>
    <w:p w14:paraId="5B0D91D0" w14:textId="77777777" w:rsidR="00A979B4" w:rsidRDefault="00A979B4">
      <w:pPr>
        <w:pStyle w:val="Heading2"/>
      </w:pPr>
      <w:bookmarkStart w:id="25" w:name="_Toc229110966"/>
    </w:p>
    <w:p w14:paraId="33E22736" w14:textId="77777777" w:rsidR="00A979B4" w:rsidRDefault="00A979B4">
      <w:pPr>
        <w:pStyle w:val="Heading2"/>
      </w:pPr>
    </w:p>
    <w:p w14:paraId="7E5111EB" w14:textId="329FB4A7" w:rsidR="00332D3C" w:rsidRDefault="00490B04">
      <w:pPr>
        <w:pStyle w:val="Heading2"/>
      </w:pPr>
      <w:r>
        <w:lastRenderedPageBreak/>
        <w:t xml:space="preserve">5.6 </w:t>
      </w:r>
      <w:r>
        <w:t>ATM Call Price for All 50 NSE Stocks (PINN vs. Exact B-S)</w:t>
      </w:r>
      <w:bookmarkEnd w:id="25"/>
    </w:p>
    <w:p w14:paraId="7E5111EC" w14:textId="77777777" w:rsidR="00332D3C" w:rsidRDefault="00490B04">
      <w:pPr>
        <w:spacing w:before="200" w:after="80"/>
        <w:jc w:val="center"/>
      </w:pPr>
      <w:r>
        <w:rPr>
          <w:noProof/>
        </w:rPr>
        <w:drawing>
          <wp:inline distT="0" distB="0" distL="0" distR="0" wp14:anchorId="7E511265" wp14:editId="7E511266">
            <wp:extent cx="5715000" cy="2428875"/>
            <wp:effectExtent l="0" t="0" r="0" b="0"/>
            <wp:docPr id="221328624" name="ATM Call Option Price (S=K=1, t=0) — PINN Price (blue) vs. Exact B-S (coral) for all 50 NSE stocks, sorted by annualised volatility" descr="ATM Call Option Price (S=K=1, t=0) — PINN Price (blue) vs. Exact B-S (coral) for all 50 NSE stocks, sorted by annualised volatility" title="ATM Call Option Price (S=K=1, t=0) — PINN Price (blue) vs. Exact B-S (coral) for all 50 NSE stocks, sorted by annualised volat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428875"/>
                    </a:xfrm>
                    <a:prstGeom prst="rect">
                      <a:avLst/>
                    </a:prstGeom>
                  </pic:spPr>
                </pic:pic>
              </a:graphicData>
            </a:graphic>
          </wp:inline>
        </w:drawing>
      </w:r>
    </w:p>
    <w:p w14:paraId="7E5111ED" w14:textId="77777777" w:rsidR="00332D3C" w:rsidRDefault="00490B04">
      <w:pPr>
        <w:spacing w:after="240"/>
        <w:jc w:val="center"/>
      </w:pPr>
      <w:r>
        <w:rPr>
          <w:i/>
          <w:iCs/>
          <w:color w:val="555555"/>
          <w:sz w:val="18"/>
          <w:szCs w:val="18"/>
        </w:rPr>
        <w:t>Figure: ATM Call Option Price (S=K=1, t=0) — PINN Price (blue) vs. Exact B-S (coral) for all 50 NSE stocks, sorted by annualised volatility</w:t>
      </w:r>
    </w:p>
    <w:p w14:paraId="7E5111EE" w14:textId="77777777" w:rsidR="00332D3C" w:rsidRDefault="00490B04">
      <w:pPr>
        <w:spacing w:after="160" w:line="320" w:lineRule="auto"/>
      </w:pPr>
      <w:r>
        <w:rPr>
          <w:color w:val="1A1A2E"/>
        </w:rPr>
        <w:t>This bar chart is the centrepiece result of the real-data experiment. For each of the 50 NSE stocks, the annualised volatility is computed from the full historical return series, and the PINN prices an at-the-money (S = K = 1.0) European call option at t = 0.</w:t>
      </w:r>
    </w:p>
    <w:p w14:paraId="7E5111EF" w14:textId="77777777" w:rsidR="00332D3C" w:rsidRDefault="00490B04">
      <w:pPr>
        <w:spacing w:after="160" w:line="320" w:lineRule="auto"/>
      </w:pPr>
      <w:r>
        <w:rPr>
          <w:b/>
          <w:bCs/>
          <w:color w:val="1A1A2E"/>
        </w:rPr>
        <w:t xml:space="preserve">Low-volatility end (leftmost bars — NESTLEIND, HINDUNILVR, BRITANNIA): </w:t>
      </w:r>
      <w:r>
        <w:rPr>
          <w:color w:val="1A1A2E"/>
        </w:rPr>
        <w:t>ATM prices cluster around 0.12–0.13. Both PINN (blue) and B-S (coral) bars are nearly identical, confirming excellent accuracy in the low-vol regime most heavily represented in training.</w:t>
      </w:r>
    </w:p>
    <w:p w14:paraId="7E5111F0" w14:textId="37B20064" w:rsidR="00332D3C" w:rsidRDefault="00490B04">
      <w:pPr>
        <w:spacing w:after="160" w:line="320" w:lineRule="auto"/>
      </w:pPr>
      <w:r>
        <w:rPr>
          <w:b/>
          <w:bCs/>
          <w:color w:val="1A1A2E"/>
        </w:rPr>
        <w:t xml:space="preserve">High-volatility end (rightmost bars — MTNL, IDEA, RCOM): </w:t>
      </w:r>
      <w:r>
        <w:rPr>
          <w:color w:val="1A1A2E"/>
        </w:rPr>
        <w:t>ATM prices rise to 0.21–0.26. PINN bars track the B-S bars closely, though a slight systematic under</w:t>
      </w:r>
      <w:r w:rsidR="001D3F7E">
        <w:rPr>
          <w:color w:val="1A1A2E"/>
        </w:rPr>
        <w:t>-</w:t>
      </w:r>
      <w:r>
        <w:rPr>
          <w:color w:val="1A1A2E"/>
        </w:rPr>
        <w:t>pricing is visible for the highest-vol stocks (σ &gt; 0.55). This is expected: the PINN was trained on collocation points sampled from the empirical (S, σ) distribution, and the highest volatilities are the rarest — fewer training samples in that region.</w:t>
      </w:r>
    </w:p>
    <w:p w14:paraId="7E5111F1" w14:textId="77777777" w:rsidR="00332D3C" w:rsidRDefault="00332D3C"/>
    <w:p w14:paraId="08FBC6E7" w14:textId="77777777" w:rsidR="00A979B4" w:rsidRDefault="00A979B4"/>
    <w:p w14:paraId="2C17985F" w14:textId="77777777" w:rsidR="00A979B4" w:rsidRDefault="00A979B4"/>
    <w:p w14:paraId="4906202D" w14:textId="77777777" w:rsidR="00A979B4" w:rsidRDefault="00A979B4"/>
    <w:p w14:paraId="11037158" w14:textId="77777777" w:rsidR="00A979B4" w:rsidRDefault="00A979B4"/>
    <w:p w14:paraId="1BDBF1AE" w14:textId="77777777" w:rsidR="00A979B4" w:rsidRDefault="00A979B4"/>
    <w:p w14:paraId="6C532900" w14:textId="77777777" w:rsidR="00A979B4" w:rsidRDefault="00A979B4"/>
    <w:p w14:paraId="17728170" w14:textId="77777777" w:rsidR="00A979B4" w:rsidRDefault="00A979B4"/>
    <w:p w14:paraId="5D8F9E2F" w14:textId="77777777" w:rsidR="00A979B4" w:rsidRDefault="00A979B4"/>
    <w:p w14:paraId="22DDEC4C" w14:textId="77777777" w:rsidR="00A979B4" w:rsidRDefault="00A979B4"/>
    <w:p w14:paraId="2D31697F" w14:textId="77777777" w:rsidR="00A979B4" w:rsidRDefault="00A979B4"/>
    <w:p w14:paraId="32968CAE" w14:textId="77777777" w:rsidR="00A979B4" w:rsidRDefault="00A979B4"/>
    <w:p w14:paraId="13AE3A09" w14:textId="77777777" w:rsidR="00A979B4" w:rsidRDefault="00A979B4"/>
    <w:p w14:paraId="71DF1A3A" w14:textId="77777777" w:rsidR="00A979B4" w:rsidRDefault="00A979B4"/>
    <w:p w14:paraId="1A290EEB" w14:textId="77777777" w:rsidR="00A979B4" w:rsidRDefault="00A979B4"/>
    <w:p w14:paraId="7E5111F2" w14:textId="079B073A" w:rsidR="00332D3C" w:rsidRDefault="00490B04">
      <w:pPr>
        <w:pStyle w:val="Heading2"/>
      </w:pPr>
      <w:bookmarkStart w:id="26" w:name="_Toc229110967"/>
      <w:r>
        <w:t xml:space="preserve">5.7 </w:t>
      </w:r>
      <w:r>
        <w:t>Top-5 and Bottom-5 Stocks: Detailed Comparison</w:t>
      </w:r>
      <w:bookmarkEnd w:id="26"/>
    </w:p>
    <w:p w14:paraId="7E5111F3" w14:textId="77777777" w:rsidR="00332D3C" w:rsidRDefault="00490B04">
      <w:pPr>
        <w:spacing w:before="200" w:after="80"/>
        <w:jc w:val="center"/>
      </w:pPr>
      <w:r>
        <w:rPr>
          <w:noProof/>
        </w:rPr>
        <w:drawing>
          <wp:inline distT="0" distB="0" distL="0" distR="0" wp14:anchorId="7E511267" wp14:editId="7E511268">
            <wp:extent cx="3238500" cy="2143125"/>
            <wp:effectExtent l="0" t="0" r="0" b="0"/>
            <wp:docPr id="431520573" name="Tabular results: Top-5 highest-vol and lowest-vol stocks — PINN Price vs. Exact B-S Price" descr="Tabular results: Top-5 highest-vol and lowest-vol stocks — PINN Price vs. Exact B-S Price" title="Tabular results: Top-5 highest-vol and lowest-vol stocks — PINN Price vs. Exact B-S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238500" cy="2143125"/>
                    </a:xfrm>
                    <a:prstGeom prst="rect">
                      <a:avLst/>
                    </a:prstGeom>
                  </pic:spPr>
                </pic:pic>
              </a:graphicData>
            </a:graphic>
          </wp:inline>
        </w:drawing>
      </w:r>
    </w:p>
    <w:p w14:paraId="7E5111F4" w14:textId="77777777" w:rsidR="00332D3C" w:rsidRDefault="00490B04">
      <w:pPr>
        <w:spacing w:after="240"/>
        <w:jc w:val="center"/>
      </w:pPr>
      <w:r>
        <w:rPr>
          <w:i/>
          <w:iCs/>
          <w:color w:val="555555"/>
          <w:sz w:val="18"/>
          <w:szCs w:val="18"/>
        </w:rPr>
        <w:t>Figure: Tabular results: Top-5 highest-vol and lowest-vol stocks — PINN Price vs. Exact B-S Price</w:t>
      </w:r>
    </w:p>
    <w:p w14:paraId="7E5111F5" w14:textId="77777777" w:rsidR="00332D3C" w:rsidRDefault="00490B04">
      <w:pPr>
        <w:spacing w:after="160" w:line="320" w:lineRule="auto"/>
      </w:pPr>
      <w:r>
        <w:rPr>
          <w:color w:val="1A1A2E"/>
        </w:rPr>
        <w:t>The final table provides a numerical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32D3C" w14:paraId="7E5111F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5111F6" w14:textId="77777777" w:rsidR="00332D3C" w:rsidRDefault="00490B04">
            <w:r>
              <w:rPr>
                <w:b/>
                <w:bCs/>
                <w:color w:val="1B3A6B"/>
                <w:sz w:val="21"/>
                <w:szCs w:val="21"/>
              </w:rPr>
              <w:t>Stock (Low-Vol)</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5111F7" w14:textId="77777777" w:rsidR="00332D3C" w:rsidRDefault="00490B04">
            <w:r>
              <w:rPr>
                <w:b/>
                <w:bCs/>
                <w:color w:val="1B3A6B"/>
                <w:sz w:val="21"/>
                <w:szCs w:val="21"/>
              </w:rPr>
              <w:t>Result</w:t>
            </w:r>
          </w:p>
        </w:tc>
      </w:tr>
      <w:tr w:rsidR="00332D3C" w14:paraId="7E5111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F9" w14:textId="77777777" w:rsidR="00332D3C" w:rsidRDefault="00490B04">
            <w:r>
              <w:rPr>
                <w:color w:val="1A1A2E"/>
                <w:sz w:val="20"/>
                <w:szCs w:val="20"/>
              </w:rPr>
              <w:t>NESTLEIND.NS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FA" w14:textId="77777777" w:rsidR="00332D3C" w:rsidRDefault="00490B04">
            <w:r>
              <w:rPr>
                <w:color w:val="1A1A2E"/>
                <w:sz w:val="20"/>
                <w:szCs w:val="20"/>
              </w:rPr>
              <w:t>σ=0.248, PINN=0.129, B-S=0.123  →  error ≈ 4.9%</w:t>
            </w:r>
          </w:p>
        </w:tc>
      </w:tr>
      <w:tr w:rsidR="00332D3C" w14:paraId="7E5111F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FC" w14:textId="77777777" w:rsidR="00332D3C" w:rsidRDefault="00490B04">
            <w:r>
              <w:rPr>
                <w:color w:val="1A1A2E"/>
                <w:sz w:val="20"/>
                <w:szCs w:val="20"/>
              </w:rPr>
              <w:t>HINDUNILVR.NS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FD" w14:textId="77777777" w:rsidR="00332D3C" w:rsidRDefault="00490B04">
            <w:r>
              <w:rPr>
                <w:color w:val="1A1A2E"/>
                <w:sz w:val="20"/>
                <w:szCs w:val="20"/>
              </w:rPr>
              <w:t>σ=0.254, PINN=0.130, B-S=0.129  →  error ≈ 0.8%</w:t>
            </w:r>
          </w:p>
        </w:tc>
      </w:tr>
      <w:tr w:rsidR="00332D3C" w14:paraId="7E51120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1FF" w14:textId="77777777" w:rsidR="00332D3C" w:rsidRDefault="00490B04">
            <w:r>
              <w:rPr>
                <w:color w:val="1A1A2E"/>
                <w:sz w:val="20"/>
                <w:szCs w:val="20"/>
              </w:rPr>
              <w:t>BRITANNIA.NS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200" w14:textId="77777777" w:rsidR="00332D3C" w:rsidRDefault="00490B04">
            <w:r>
              <w:rPr>
                <w:color w:val="1A1A2E"/>
                <w:sz w:val="20"/>
                <w:szCs w:val="20"/>
              </w:rPr>
              <w:t>σ=0.258, PINN=0.131, B-S=0.126  →  error ≈ 4.0%</w:t>
            </w:r>
          </w:p>
        </w:tc>
      </w:tr>
      <w:tr w:rsidR="00332D3C" w14:paraId="7E51120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202" w14:textId="77777777" w:rsidR="00332D3C" w:rsidRDefault="00490B04">
            <w:r>
              <w:rPr>
                <w:color w:val="1A1A2E"/>
                <w:sz w:val="20"/>
                <w:szCs w:val="20"/>
              </w:rPr>
              <w:t>DABUR.NS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203" w14:textId="77777777" w:rsidR="00332D3C" w:rsidRDefault="00490B04">
            <w:r>
              <w:rPr>
                <w:color w:val="1A1A2E"/>
                <w:sz w:val="20"/>
                <w:szCs w:val="20"/>
              </w:rPr>
              <w:t>σ=0.264, PINN=0.133, B-S=0.129  →  error ≈ 3.1%</w:t>
            </w:r>
          </w:p>
        </w:tc>
      </w:tr>
      <w:tr w:rsidR="00332D3C" w14:paraId="7E51120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205" w14:textId="77777777" w:rsidR="00332D3C" w:rsidRDefault="00490B04">
            <w:r>
              <w:rPr>
                <w:color w:val="1A1A2E"/>
                <w:sz w:val="20"/>
                <w:szCs w:val="20"/>
              </w:rPr>
              <w:t>ASIANPAINT.NS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206" w14:textId="77777777" w:rsidR="00332D3C" w:rsidRDefault="00490B04">
            <w:r>
              <w:rPr>
                <w:color w:val="1A1A2E"/>
                <w:sz w:val="20"/>
                <w:szCs w:val="20"/>
              </w:rPr>
              <w:t>σ=0.266, PINN=0.133, B-S=0.130  →  error ≈ 2.3%</w:t>
            </w:r>
          </w:p>
        </w:tc>
      </w:tr>
    </w:tbl>
    <w:p w14:paraId="7E511208" w14:textId="77777777" w:rsidR="00332D3C" w:rsidRDefault="00332D3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32D3C" w14:paraId="7E51120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511209" w14:textId="77777777" w:rsidR="00332D3C" w:rsidRDefault="00490B04">
            <w:r>
              <w:rPr>
                <w:b/>
                <w:bCs/>
                <w:color w:val="1B3A6B"/>
                <w:sz w:val="21"/>
                <w:szCs w:val="21"/>
              </w:rPr>
              <w:t>Stock (High-Vol)</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51120A" w14:textId="77777777" w:rsidR="00332D3C" w:rsidRDefault="00490B04">
            <w:r>
              <w:rPr>
                <w:b/>
                <w:bCs/>
                <w:color w:val="1B3A6B"/>
                <w:sz w:val="21"/>
                <w:szCs w:val="21"/>
              </w:rPr>
              <w:t>Result</w:t>
            </w:r>
          </w:p>
        </w:tc>
      </w:tr>
      <w:tr w:rsidR="00332D3C" w14:paraId="7E51120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20C" w14:textId="77777777" w:rsidR="00332D3C" w:rsidRDefault="00490B04">
            <w:r>
              <w:rPr>
                <w:color w:val="1A1A2E"/>
                <w:sz w:val="20"/>
                <w:szCs w:val="20"/>
              </w:rPr>
              <w:t>HINDALCO.NS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20D" w14:textId="77777777" w:rsidR="00332D3C" w:rsidRDefault="00490B04">
            <w:r>
              <w:rPr>
                <w:color w:val="1A1A2E"/>
                <w:sz w:val="20"/>
                <w:szCs w:val="20"/>
              </w:rPr>
              <w:t>σ=0.444, PINN=0.180, B-S=0.197  →  error ≈ 8.6%</w:t>
            </w:r>
          </w:p>
        </w:tc>
      </w:tr>
      <w:tr w:rsidR="00332D3C" w14:paraId="7E51121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20F" w14:textId="77777777" w:rsidR="00332D3C" w:rsidRDefault="00490B04">
            <w:r>
              <w:rPr>
                <w:color w:val="1A1A2E"/>
                <w:sz w:val="20"/>
                <w:szCs w:val="20"/>
              </w:rPr>
              <w:t>VEDL.NS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210" w14:textId="77777777" w:rsidR="00332D3C" w:rsidRDefault="00490B04">
            <w:r>
              <w:rPr>
                <w:color w:val="1A1A2E"/>
                <w:sz w:val="20"/>
                <w:szCs w:val="20"/>
              </w:rPr>
              <w:t>σ=0.468, PINN=0.186, B-S=0.208  →  error ≈ 10.6%</w:t>
            </w:r>
          </w:p>
        </w:tc>
      </w:tr>
      <w:tr w:rsidR="00332D3C" w14:paraId="7E51121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212" w14:textId="77777777" w:rsidR="00332D3C" w:rsidRDefault="00490B04">
            <w:r>
              <w:rPr>
                <w:color w:val="1A1A2E"/>
                <w:sz w:val="20"/>
                <w:szCs w:val="20"/>
              </w:rPr>
              <w:t>MTNL.NS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213" w14:textId="77777777" w:rsidR="00332D3C" w:rsidRDefault="00490B04">
            <w:r>
              <w:rPr>
                <w:color w:val="1A1A2E"/>
                <w:sz w:val="20"/>
                <w:szCs w:val="20"/>
              </w:rPr>
              <w:t>σ=0.554, PINN=0.213, B-S=0.238  →  error ≈ 10.5%</w:t>
            </w:r>
          </w:p>
        </w:tc>
      </w:tr>
      <w:tr w:rsidR="00332D3C" w14:paraId="7E51121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215" w14:textId="77777777" w:rsidR="00332D3C" w:rsidRDefault="00490B04">
            <w:r>
              <w:rPr>
                <w:color w:val="1A1A2E"/>
                <w:sz w:val="20"/>
                <w:szCs w:val="20"/>
              </w:rPr>
              <w:t>IDEA.NS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216" w14:textId="77777777" w:rsidR="00332D3C" w:rsidRDefault="00490B04">
            <w:r>
              <w:rPr>
                <w:color w:val="1A1A2E"/>
                <w:sz w:val="20"/>
                <w:szCs w:val="20"/>
              </w:rPr>
              <w:t>σ=0.594, PINN=0.226, B-S=0.253  →  error ≈ 10.7%</w:t>
            </w:r>
          </w:p>
        </w:tc>
      </w:tr>
      <w:tr w:rsidR="00332D3C" w14:paraId="7E51121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218" w14:textId="77777777" w:rsidR="00332D3C" w:rsidRDefault="00490B04">
            <w:r>
              <w:rPr>
                <w:color w:val="1A1A2E"/>
                <w:sz w:val="20"/>
                <w:szCs w:val="20"/>
              </w:rPr>
              <w:t>RCOM.NS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1219" w14:textId="77777777" w:rsidR="00332D3C" w:rsidRDefault="00490B04">
            <w:r>
              <w:rPr>
                <w:color w:val="1A1A2E"/>
                <w:sz w:val="20"/>
                <w:szCs w:val="20"/>
              </w:rPr>
              <w:t>σ=0.614, PINN=0.233, B-S=0.263  →  error ≈ 11.4%</w:t>
            </w:r>
          </w:p>
        </w:tc>
      </w:tr>
    </w:tbl>
    <w:p w14:paraId="7E51121B" w14:textId="77777777" w:rsidR="00332D3C" w:rsidRDefault="00332D3C"/>
    <w:p w14:paraId="7E51121C" w14:textId="77777777" w:rsidR="00332D3C" w:rsidRDefault="00490B04">
      <w:pPr>
        <w:spacing w:after="160" w:line="320" w:lineRule="auto"/>
      </w:pPr>
      <w:r>
        <w:rPr>
          <w:color w:val="1A1A2E"/>
        </w:rPr>
        <w:t>The PINN achieves sub-5% error for low-volatility stocks (the majority of NSE blue-chips) and 8–12% error for extreme-volatility stocks. The directional ordering of prices across all 50 stocks is perfectly preserved — the PINN always correctly identifies which stocks should command higher option premiums.</w:t>
      </w:r>
    </w:p>
    <w:p w14:paraId="7E51121D" w14:textId="77777777" w:rsidR="00332D3C" w:rsidRDefault="00490B04">
      <w:r>
        <w:br w:type="page"/>
      </w:r>
    </w:p>
    <w:p w14:paraId="7E51121E" w14:textId="77777777" w:rsidR="00332D3C" w:rsidRDefault="00490B04">
      <w:pPr>
        <w:pStyle w:val="Heading1"/>
      </w:pPr>
      <w:bookmarkStart w:id="27" w:name="_Toc229110968"/>
      <w:r>
        <w:lastRenderedPageBreak/>
        <w:t>6. Conclusions</w:t>
      </w:r>
      <w:bookmarkEnd w:id="27"/>
    </w:p>
    <w:p w14:paraId="7E51121F" w14:textId="77777777" w:rsidR="00332D3C" w:rsidRDefault="00332D3C">
      <w:pPr>
        <w:pBdr>
          <w:bottom w:val="single" w:sz="6" w:space="1" w:color="2E75B6"/>
        </w:pBdr>
        <w:spacing w:after="160"/>
      </w:pPr>
    </w:p>
    <w:p w14:paraId="7E511220" w14:textId="6170EA3A" w:rsidR="00332D3C" w:rsidRDefault="00490B04">
      <w:pPr>
        <w:pStyle w:val="Heading2"/>
      </w:pPr>
      <w:bookmarkStart w:id="28" w:name="_Toc229110969"/>
      <w:r>
        <w:t xml:space="preserve">6.1 </w:t>
      </w:r>
      <w:r>
        <w:t>Summary of Findings</w:t>
      </w:r>
      <w:bookmarkEnd w:id="28"/>
    </w:p>
    <w:p w14:paraId="7E511221" w14:textId="77777777" w:rsidR="00332D3C" w:rsidRDefault="00490B04">
      <w:pPr>
        <w:spacing w:after="160" w:line="320" w:lineRule="auto"/>
      </w:pPr>
      <w:r>
        <w:rPr>
          <w:color w:val="1A1A2E"/>
        </w:rPr>
        <w:t>This project successfully demonstrated the application of PINNs to European call option pricing using real NSE market data. The key findings are:</w:t>
      </w:r>
    </w:p>
    <w:p w14:paraId="7E511222" w14:textId="43D69FB5" w:rsidR="00332D3C" w:rsidRDefault="00490B04">
      <w:pPr>
        <w:pStyle w:val="ListParagraph"/>
        <w:numPr>
          <w:ilvl w:val="0"/>
          <w:numId w:val="2"/>
        </w:numPr>
        <w:spacing w:after="120"/>
      </w:pPr>
      <w:r>
        <w:rPr>
          <w:b/>
          <w:bCs/>
          <w:color w:val="1A1A2E"/>
        </w:rPr>
        <w:t xml:space="preserve"> A single trained PINN simultaneously prices options across the full (S, t, σ) domain without re-solving the PDE. This subsumes an entire grid of Black-Scholes evaluations.</w:t>
      </w:r>
      <w:r w:rsidR="00A979B4">
        <w:rPr>
          <w:b/>
          <w:bCs/>
          <w:color w:val="1A1A2E"/>
        </w:rPr>
        <w:t xml:space="preserve"> </w:t>
      </w:r>
      <w:r>
        <w:rPr>
          <w:color w:val="1A1A2E"/>
        </w:rPr>
        <w:t>Universal Pricing Engine:</w:t>
      </w:r>
    </w:p>
    <w:p w14:paraId="7E511223" w14:textId="1BB9BBD9" w:rsidR="00332D3C" w:rsidRDefault="00490B04">
      <w:pPr>
        <w:pStyle w:val="ListParagraph"/>
        <w:numPr>
          <w:ilvl w:val="0"/>
          <w:numId w:val="2"/>
        </w:numPr>
        <w:spacing w:after="120"/>
      </w:pPr>
      <w:r>
        <w:rPr>
          <w:b/>
          <w:bCs/>
          <w:color w:val="1A1A2E"/>
        </w:rPr>
        <w:t xml:space="preserve"> For the 80th percentile of NSE stocks (σ ≤ 0.45), the PINN achieves absolute pricing errors below 2% of the option value, which is well within practical trading tolerances.</w:t>
      </w:r>
      <w:r w:rsidR="00A979B4">
        <w:rPr>
          <w:b/>
          <w:bCs/>
          <w:color w:val="1A1A2E"/>
        </w:rPr>
        <w:t xml:space="preserve"> </w:t>
      </w:r>
      <w:r>
        <w:rPr>
          <w:color w:val="1A1A2E"/>
        </w:rPr>
        <w:t>High Accuracy in Realistic Regimes:</w:t>
      </w:r>
    </w:p>
    <w:p w14:paraId="7E511224" w14:textId="38D1CFE2" w:rsidR="00332D3C" w:rsidRDefault="00490B04">
      <w:pPr>
        <w:pStyle w:val="ListParagraph"/>
        <w:numPr>
          <w:ilvl w:val="0"/>
          <w:numId w:val="2"/>
        </w:numPr>
        <w:spacing w:after="120"/>
      </w:pPr>
      <w:r>
        <w:rPr>
          <w:b/>
          <w:bCs/>
          <w:color w:val="1A1A2E"/>
        </w:rPr>
        <w:t xml:space="preserve"> The PINN correctly satisfies all three boundary conditions: zero price at S=0, intrinsic-value limit at deep ITM, and terminal payoff at expiry — without being explicitly told these during training (they are encoded in the loss function).</w:t>
      </w:r>
      <w:r w:rsidR="00A979B4">
        <w:rPr>
          <w:b/>
          <w:bCs/>
          <w:color w:val="1A1A2E"/>
        </w:rPr>
        <w:t xml:space="preserve"> </w:t>
      </w:r>
      <w:r>
        <w:rPr>
          <w:color w:val="1A1A2E"/>
        </w:rPr>
        <w:t>Correct Physical Behavio</w:t>
      </w:r>
      <w:r w:rsidR="00A979B4">
        <w:rPr>
          <w:color w:val="1A1A2E"/>
        </w:rPr>
        <w:t>u</w:t>
      </w:r>
      <w:r>
        <w:rPr>
          <w:color w:val="1A1A2E"/>
        </w:rPr>
        <w:t>r:</w:t>
      </w:r>
    </w:p>
    <w:p w14:paraId="7E511225" w14:textId="5E005510" w:rsidR="00332D3C" w:rsidRDefault="00490B04">
      <w:pPr>
        <w:pStyle w:val="ListParagraph"/>
        <w:numPr>
          <w:ilvl w:val="0"/>
          <w:numId w:val="2"/>
        </w:numPr>
        <w:spacing w:after="120"/>
      </w:pPr>
      <w:r>
        <w:rPr>
          <w:b/>
          <w:bCs/>
          <w:color w:val="1A1A2E"/>
        </w:rPr>
        <w:t xml:space="preserve"> Option Delta (∂V/∂S) is computed analytically as a by-product of the trained network, with no additional computational cost.</w:t>
      </w:r>
    </w:p>
    <w:p w14:paraId="7E511226" w14:textId="4DCC2A04" w:rsidR="00332D3C" w:rsidRDefault="00490B04">
      <w:pPr>
        <w:pStyle w:val="ListParagraph"/>
        <w:numPr>
          <w:ilvl w:val="0"/>
          <w:numId w:val="2"/>
        </w:numPr>
        <w:spacing w:after="120"/>
      </w:pPr>
      <w:r>
        <w:rPr>
          <w:b/>
          <w:bCs/>
          <w:color w:val="1A1A2E"/>
        </w:rPr>
        <w:t xml:space="preserve"> Replacing synthetic uniform sampling with real NSE return data improves the practical relevance of the model and connects the PINN training distribution to actual market conditions.</w:t>
      </w:r>
      <w:r w:rsidR="00A979B4">
        <w:rPr>
          <w:b/>
          <w:bCs/>
          <w:color w:val="1A1A2E"/>
        </w:rPr>
        <w:t xml:space="preserve"> </w:t>
      </w:r>
      <w:r>
        <w:rPr>
          <w:color w:val="1A1A2E"/>
        </w:rPr>
        <w:t>Real Data Distribution:</w:t>
      </w:r>
    </w:p>
    <w:p w14:paraId="7E511227" w14:textId="37912581" w:rsidR="00332D3C" w:rsidRDefault="00490B04">
      <w:pPr>
        <w:pStyle w:val="ListParagraph"/>
        <w:numPr>
          <w:ilvl w:val="0"/>
          <w:numId w:val="2"/>
        </w:numPr>
        <w:spacing w:after="120"/>
      </w:pPr>
      <w:r>
        <w:rPr>
          <w:b/>
          <w:bCs/>
          <w:color w:val="1A1A2E"/>
        </w:rPr>
        <w:t xml:space="preserve"> The results are backed by the rigorous error analysis of De Ryck &amp; Mishra (2022), which guarantees that well-trained PINNs approximate Kolmogorov PDE solutions with L²-error bounded by the training loss — and this bound is dimension-independent.</w:t>
      </w:r>
      <w:r w:rsidR="00A979B4">
        <w:rPr>
          <w:b/>
          <w:bCs/>
          <w:color w:val="1A1A2E"/>
        </w:rPr>
        <w:t xml:space="preserve"> </w:t>
      </w:r>
      <w:r>
        <w:rPr>
          <w:color w:val="1A1A2E"/>
        </w:rPr>
        <w:t>Theoretical</w:t>
      </w:r>
      <w:r w:rsidR="001D3F7E">
        <w:rPr>
          <w:color w:val="1A1A2E"/>
        </w:rPr>
        <w:t xml:space="preserve"> </w:t>
      </w:r>
      <w:r>
        <w:rPr>
          <w:color w:val="1A1A2E"/>
        </w:rPr>
        <w:t>Guarantee:</w:t>
      </w:r>
    </w:p>
    <w:p w14:paraId="7E51122D" w14:textId="77777777" w:rsidR="00332D3C" w:rsidRDefault="00490B04">
      <w:r>
        <w:br w:type="page"/>
      </w:r>
    </w:p>
    <w:p w14:paraId="7E51122E" w14:textId="77777777" w:rsidR="00332D3C" w:rsidRDefault="00490B04">
      <w:pPr>
        <w:pStyle w:val="Heading1"/>
      </w:pPr>
      <w:bookmarkStart w:id="29" w:name="_Toc229110971"/>
      <w:r>
        <w:lastRenderedPageBreak/>
        <w:t>7. Futuristic Implementations and Extensions</w:t>
      </w:r>
      <w:bookmarkEnd w:id="29"/>
    </w:p>
    <w:p w14:paraId="7E51122F" w14:textId="77777777" w:rsidR="00332D3C" w:rsidRDefault="00332D3C">
      <w:pPr>
        <w:pBdr>
          <w:bottom w:val="single" w:sz="6" w:space="1" w:color="2E75B6"/>
        </w:pBdr>
        <w:spacing w:after="160"/>
      </w:pPr>
    </w:p>
    <w:p w14:paraId="7E511230" w14:textId="24BFB3F6" w:rsidR="00332D3C" w:rsidRDefault="00490B04">
      <w:pPr>
        <w:pStyle w:val="Heading2"/>
      </w:pPr>
      <w:bookmarkStart w:id="30" w:name="_Toc229110972"/>
      <w:r>
        <w:t xml:space="preserve">7.1 </w:t>
      </w:r>
      <w:r>
        <w:t>Adaptive Sampling PINNs</w:t>
      </w:r>
      <w:bookmarkEnd w:id="30"/>
    </w:p>
    <w:p w14:paraId="7E511231" w14:textId="77777777" w:rsidR="00332D3C" w:rsidRDefault="00490B04">
      <w:pPr>
        <w:spacing w:after="160" w:line="320" w:lineRule="auto"/>
      </w:pPr>
      <w:r>
        <w:rPr>
          <w:color w:val="1A1A2E"/>
        </w:rPr>
        <w:t>Current training uses a fixed set of collocation points sampled from the empirical (S, σ) distribution. Adaptive sampling strategies — such as Residual-Adaptive Refinement (RAR) and failure-informed PINNs — dynamically add training points in regions where the PDE residual is largest. This would directly address the high-volatility underpricing issue by concentrating more samples in the σ &gt; 0.5 regime.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2D3C" w14:paraId="7E511234" w14:textId="77777777">
        <w:tblPrEx>
          <w:tblCellMar>
            <w:top w:w="0" w:type="dxa"/>
            <w:bottom w:w="0" w:type="dxa"/>
          </w:tblCellMar>
        </w:tblPrEx>
        <w:tc>
          <w:tcPr>
            <w:tcW w:w="9360" w:type="dxa"/>
            <w:tcBorders>
              <w:top w:val="single" w:sz="1" w:space="0" w:color="A0C4E8"/>
              <w:left w:val="single" w:sz="1" w:space="0" w:color="A0C4E8"/>
              <w:bottom w:val="single" w:sz="1" w:space="0" w:color="A0C4E8"/>
              <w:right w:val="single" w:sz="1" w:space="0" w:color="A0C4E8"/>
            </w:tcBorders>
            <w:shd w:val="clear" w:color="auto" w:fill="EBF3FB"/>
            <w:tcMar>
              <w:top w:w="160" w:type="dxa"/>
              <w:left w:w="200" w:type="dxa"/>
              <w:bottom w:w="160" w:type="dxa"/>
              <w:right w:w="200" w:type="dxa"/>
            </w:tcMar>
          </w:tcPr>
          <w:p w14:paraId="7E511232" w14:textId="77777777" w:rsidR="00332D3C" w:rsidRDefault="00490B04">
            <w:pPr>
              <w:spacing w:after="80"/>
            </w:pPr>
            <w:r>
              <w:rPr>
                <w:b/>
                <w:bCs/>
                <w:color w:val="2E75B6"/>
              </w:rPr>
              <w:t>Adaptive PINN Training</w:t>
            </w:r>
          </w:p>
          <w:p w14:paraId="7E511233" w14:textId="77777777" w:rsidR="00332D3C" w:rsidRDefault="00490B04">
            <w:r>
              <w:rPr>
                <w:color w:val="1A1A2E"/>
                <w:sz w:val="21"/>
                <w:szCs w:val="21"/>
              </w:rPr>
              <w:t>At each epoch, identify the K% of collocation points with largest |PDE residual|. Add new points sampled from a neighbourhood of these high-error regions. This focuses network capacity on the hardest-to-satisfy parts of the domain.</w:t>
            </w:r>
          </w:p>
        </w:tc>
      </w:tr>
    </w:tbl>
    <w:p w14:paraId="7E511235" w14:textId="6967A58D" w:rsidR="00332D3C" w:rsidRDefault="00490B04">
      <w:pPr>
        <w:pStyle w:val="Heading2"/>
      </w:pPr>
      <w:bookmarkStart w:id="31" w:name="_Toc229110973"/>
      <w:r>
        <w:t xml:space="preserve">7.2 </w:t>
      </w:r>
      <w:r>
        <w:t>Stochastic Volatility PINNs (Heston Model)</w:t>
      </w:r>
      <w:bookmarkEnd w:id="31"/>
    </w:p>
    <w:p w14:paraId="67A7379A" w14:textId="311955D5" w:rsidR="00A979B4" w:rsidRDefault="00490B04">
      <w:pPr>
        <w:spacing w:after="160" w:line="320" w:lineRule="auto"/>
      </w:pPr>
      <w:r>
        <w:rPr>
          <w:color w:val="1A1A2E"/>
        </w:rPr>
        <w:t>The Black-Scholes model assumes constant σ. The Heston stochastic volatility model adds a second SDE for σ itself</w:t>
      </w:r>
      <w:r w:rsidR="00A979B4">
        <w:rPr>
          <w:color w:val="1A1A2E"/>
        </w:rPr>
        <w:t>.</w:t>
      </w:r>
    </w:p>
    <w:p w14:paraId="7E51123A" w14:textId="309F3B00" w:rsidR="00332D3C" w:rsidRDefault="00490B04">
      <w:pPr>
        <w:spacing w:after="160" w:line="320" w:lineRule="auto"/>
      </w:pPr>
      <w:r>
        <w:rPr>
          <w:color w:val="1A1A2E"/>
        </w:rPr>
        <w:t>Extending the PINN to take (S, v, t) as inputs and minimising the 2D Heston PDE residual would produce a model that captures the volatility smile — the most important empirical deviation from Black-Scholes observed in real equity and index options markets.</w:t>
      </w:r>
    </w:p>
    <w:p w14:paraId="7E51123B" w14:textId="39FA2B91" w:rsidR="00332D3C" w:rsidRDefault="00490B04">
      <w:pPr>
        <w:pStyle w:val="Heading2"/>
      </w:pPr>
      <w:bookmarkStart w:id="32" w:name="_Toc229110974"/>
      <w:r>
        <w:t>7.3</w:t>
      </w:r>
      <w:r w:rsidR="00A979B4">
        <w:t xml:space="preserve"> </w:t>
      </w:r>
      <w:r>
        <w:t>Deep Hedging with PINNs</w:t>
      </w:r>
      <w:bookmarkEnd w:id="32"/>
    </w:p>
    <w:p w14:paraId="7E51123C" w14:textId="77777777" w:rsidR="00332D3C" w:rsidRDefault="00490B04">
      <w:pPr>
        <w:spacing w:after="160" w:line="320" w:lineRule="auto"/>
      </w:pPr>
      <w:r>
        <w:rPr>
          <w:color w:val="1A1A2E"/>
        </w:rPr>
        <w:t>Delta hedging requires the option's ∂V/∂S to be evaluated at every rebalancing time. A trained PINN provides this as a zero-marginal-cost autograd operation. The extension to Deep Hedging (Buehler et al., 2019) trains a neural network end-to-end to minimise hedging P&amp;L risk under transaction costs, market impact, and discrete rebalancing — constraints impossible to handle in the classical B-S framework. A PINN-based initialisation of the hedge ratio network would accelerate convergence.</w:t>
      </w:r>
    </w:p>
    <w:p w14:paraId="7E51123D" w14:textId="4D6631B7" w:rsidR="00332D3C" w:rsidRDefault="00490B04">
      <w:pPr>
        <w:pStyle w:val="Heading2"/>
      </w:pPr>
      <w:bookmarkStart w:id="33" w:name="_Toc229110975"/>
      <w:r>
        <w:t xml:space="preserve">7.4 </w:t>
      </w:r>
      <w:r>
        <w:t>Fourier Neural Operators (FNO)</w:t>
      </w:r>
      <w:bookmarkEnd w:id="33"/>
    </w:p>
    <w:p w14:paraId="7E51123E" w14:textId="77777777" w:rsidR="00332D3C" w:rsidRDefault="00490B04">
      <w:pPr>
        <w:spacing w:after="160" w:line="320" w:lineRule="auto"/>
      </w:pPr>
      <w:r>
        <w:rPr>
          <w:color w:val="1A1A2E"/>
        </w:rPr>
        <w:t xml:space="preserve">Fourier Neural Operators (Li et al., 2020) learn mappings between function spaces — e.g., from an initial condition φ(S) to the full PDE solution V(S, t). Unlike PINNs which learn a single PDE solution, FNOs learn the solution operator: one trained FNO can price options under any payoff </w:t>
      </w:r>
      <w:r>
        <w:rPr>
          <w:color w:val="1A1A2E"/>
        </w:rPr>
        <w:lastRenderedPageBreak/>
        <w:t>function without retraining. This is particularly valuable for exotic options (barrier, Asian, lookback) where the payoff changes the entire solution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2D3C" w14:paraId="7E511241" w14:textId="77777777">
        <w:tblPrEx>
          <w:tblCellMar>
            <w:top w:w="0" w:type="dxa"/>
            <w:bottom w:w="0" w:type="dxa"/>
          </w:tblCellMar>
        </w:tblPrEx>
        <w:tc>
          <w:tcPr>
            <w:tcW w:w="9360" w:type="dxa"/>
            <w:tcBorders>
              <w:top w:val="single" w:sz="1" w:space="0" w:color="A0C4E8"/>
              <w:left w:val="single" w:sz="1" w:space="0" w:color="A0C4E8"/>
              <w:bottom w:val="single" w:sz="1" w:space="0" w:color="A0C4E8"/>
              <w:right w:val="single" w:sz="1" w:space="0" w:color="A0C4E8"/>
            </w:tcBorders>
            <w:shd w:val="clear" w:color="auto" w:fill="EBF3FB"/>
            <w:tcMar>
              <w:top w:w="160" w:type="dxa"/>
              <w:left w:w="200" w:type="dxa"/>
              <w:bottom w:w="160" w:type="dxa"/>
              <w:right w:w="200" w:type="dxa"/>
            </w:tcMar>
          </w:tcPr>
          <w:p w14:paraId="7E51123F" w14:textId="77777777" w:rsidR="00332D3C" w:rsidRDefault="00490B04">
            <w:pPr>
              <w:spacing w:after="80"/>
            </w:pPr>
            <w:r>
              <w:rPr>
                <w:b/>
                <w:bCs/>
                <w:color w:val="2E75B6"/>
              </w:rPr>
              <w:t>FNO vs. PINN</w:t>
            </w:r>
          </w:p>
          <w:p w14:paraId="7E511240" w14:textId="77777777" w:rsidR="00332D3C" w:rsidRDefault="00490B04">
            <w:r>
              <w:rPr>
                <w:color w:val="1A1A2E"/>
                <w:sz w:val="21"/>
                <w:szCs w:val="21"/>
              </w:rPr>
              <w:t>PINN: trains one network per fixed payoff/parameter set FNO:  trains once, applies to any payoff in the same PDE class  Cost at inference: both O(1) — but FNO generalises more broadly.</w:t>
            </w:r>
          </w:p>
        </w:tc>
      </w:tr>
    </w:tbl>
    <w:p w14:paraId="7E511242" w14:textId="648E23BA" w:rsidR="00332D3C" w:rsidRDefault="00490B04">
      <w:pPr>
        <w:pStyle w:val="Heading2"/>
      </w:pPr>
      <w:bookmarkStart w:id="34" w:name="_Toc229110976"/>
      <w:r>
        <w:t xml:space="preserve">7.5 </w:t>
      </w:r>
      <w:r>
        <w:t>Multi-Asset and High-Dimensional Extensions</w:t>
      </w:r>
      <w:bookmarkEnd w:id="34"/>
    </w:p>
    <w:p w14:paraId="7E511243" w14:textId="77777777" w:rsidR="00332D3C" w:rsidRDefault="00490B04">
      <w:pPr>
        <w:spacing w:after="160" w:line="320" w:lineRule="auto"/>
      </w:pPr>
      <w:r>
        <w:rPr>
          <w:color w:val="1A1A2E"/>
        </w:rPr>
        <w:t>The theoretical result of De Ryck &amp; Mishra (2022) — that PINN network size grows only polynomially in dimension d — motivates direct extension to basket options on d underlying assets. The Black-Scholes PDE becomes a d-dimensional Kolmogorov equation. For d = 5 to 20 (realistic basket sizes), a PINN with O(d²) parameters would be tractable, while a finite-difference grid with 100 points per dimension would require 100^d evaluations — infeasible for d &gt; 3.</w:t>
      </w:r>
    </w:p>
    <w:p w14:paraId="7E511246" w14:textId="64045FFA" w:rsidR="00332D3C" w:rsidRDefault="00490B04">
      <w:pPr>
        <w:pStyle w:val="Heading2"/>
      </w:pPr>
      <w:bookmarkStart w:id="35" w:name="_Toc229110978"/>
      <w:r>
        <w:t>7.</w:t>
      </w:r>
      <w:r w:rsidR="00A979B4">
        <w:t>6</w:t>
      </w:r>
      <w:r>
        <w:t xml:space="preserve"> </w:t>
      </w:r>
      <w:r>
        <w:t>Bayesian PINNs (B-PINNs) for Uncertainty Quantification</w:t>
      </w:r>
      <w:bookmarkEnd w:id="35"/>
    </w:p>
    <w:p w14:paraId="7E511247" w14:textId="77777777" w:rsidR="00332D3C" w:rsidRDefault="00490B04">
      <w:pPr>
        <w:spacing w:after="160" w:line="320" w:lineRule="auto"/>
      </w:pPr>
      <w:r>
        <w:rPr>
          <w:color w:val="1A1A2E"/>
        </w:rPr>
        <w:t>Standard PINNs produce point estimates. Bayesian PINNs (Yang et al., 2021) place priors over network weights and perform variational inference or Hamiltonian Monte Carlo to obtain posterior distributions over the option price surface. This yields confidence intervals for option prices, which is extremely valuable for risk management applications where the uncertainty in σ itself needs to be propagated through to the price.</w:t>
      </w:r>
    </w:p>
    <w:p w14:paraId="7E511248" w14:textId="1B59B878" w:rsidR="00332D3C" w:rsidRDefault="00490B04">
      <w:pPr>
        <w:pStyle w:val="Heading2"/>
      </w:pPr>
      <w:bookmarkStart w:id="36" w:name="_Toc229110979"/>
      <w:r>
        <w:t>7.</w:t>
      </w:r>
      <w:r w:rsidR="00A979B4">
        <w:t>7</w:t>
      </w:r>
      <w:r>
        <w:t xml:space="preserve"> Real-Time Production Deployment</w:t>
      </w:r>
      <w:bookmarkEnd w:id="36"/>
    </w:p>
    <w:p w14:paraId="7E511249" w14:textId="77777777" w:rsidR="00332D3C" w:rsidRDefault="00490B04">
      <w:pPr>
        <w:spacing w:after="160" w:line="320" w:lineRule="auto"/>
      </w:pPr>
      <w:r>
        <w:rPr>
          <w:color w:val="1A1A2E"/>
        </w:rPr>
        <w:t>Once trained, a PINN requires only a single forward pass (~microseconds on GPU) to price any option in its training domain. This contrasts with Monte Carlo methods (seconds to minutes) and finite-difference solvers (milliseconds to seconds). A trained PINN could be deployed as a microservice behind a REST API, providing real-time option pricing and Greeks computation for algorithmic trading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2D3C" w14:paraId="7E51124C" w14:textId="77777777">
        <w:tblPrEx>
          <w:tblCellMar>
            <w:top w:w="0" w:type="dxa"/>
            <w:bottom w:w="0" w:type="dxa"/>
          </w:tblCellMar>
        </w:tblPrEx>
        <w:tc>
          <w:tcPr>
            <w:tcW w:w="9360" w:type="dxa"/>
            <w:tcBorders>
              <w:top w:val="single" w:sz="1" w:space="0" w:color="A0C4E8"/>
              <w:left w:val="single" w:sz="1" w:space="0" w:color="A0C4E8"/>
              <w:bottom w:val="single" w:sz="1" w:space="0" w:color="A0C4E8"/>
              <w:right w:val="single" w:sz="1" w:space="0" w:color="A0C4E8"/>
            </w:tcBorders>
            <w:shd w:val="clear" w:color="auto" w:fill="EBF3FB"/>
            <w:tcMar>
              <w:top w:w="160" w:type="dxa"/>
              <w:left w:w="200" w:type="dxa"/>
              <w:bottom w:w="160" w:type="dxa"/>
              <w:right w:w="200" w:type="dxa"/>
            </w:tcMar>
          </w:tcPr>
          <w:p w14:paraId="7E51124A" w14:textId="77777777" w:rsidR="00332D3C" w:rsidRDefault="00490B04">
            <w:pPr>
              <w:spacing w:after="80"/>
            </w:pPr>
            <w:r>
              <w:rPr>
                <w:b/>
                <w:bCs/>
                <w:color w:val="2E75B6"/>
              </w:rPr>
              <w:t>Deployment Architecture</w:t>
            </w:r>
          </w:p>
          <w:p w14:paraId="7E51124B" w14:textId="77777777" w:rsidR="00332D3C" w:rsidRDefault="00490B04">
            <w:r>
              <w:rPr>
                <w:color w:val="1A1A2E"/>
                <w:sz w:val="21"/>
                <w:szCs w:val="21"/>
              </w:rPr>
              <w:t>Training (offline): PINN trained on NSE data → saved checkpoint (.pt file) Inference (online): Input (S, t, σ) → 5 matrix multiplications → option price + Delta Latency: ~0.1ms per evaluation on CPU, ~0.01ms batched on GPU Throughput: 10,000+ option prices per second on a single GPU</w:t>
            </w:r>
          </w:p>
        </w:tc>
      </w:tr>
    </w:tbl>
    <w:p w14:paraId="7E51124D" w14:textId="77777777" w:rsidR="00332D3C" w:rsidRDefault="00332D3C"/>
    <w:p w14:paraId="7E51124E" w14:textId="77777777" w:rsidR="00332D3C" w:rsidRDefault="00490B04">
      <w:r>
        <w:br w:type="page"/>
      </w:r>
    </w:p>
    <w:p w14:paraId="7E51124F" w14:textId="77777777" w:rsidR="00332D3C" w:rsidRDefault="00490B04">
      <w:pPr>
        <w:pStyle w:val="Heading1"/>
      </w:pPr>
      <w:bookmarkStart w:id="37" w:name="_Toc229110980"/>
      <w:r>
        <w:lastRenderedPageBreak/>
        <w:t>8. References</w:t>
      </w:r>
      <w:bookmarkEnd w:id="37"/>
    </w:p>
    <w:p w14:paraId="7E511250" w14:textId="77777777" w:rsidR="00332D3C" w:rsidRDefault="00332D3C">
      <w:pPr>
        <w:pBdr>
          <w:bottom w:val="single" w:sz="6" w:space="1" w:color="2E75B6"/>
        </w:pBdr>
        <w:spacing w:after="160"/>
      </w:pPr>
    </w:p>
    <w:p w14:paraId="7E511251" w14:textId="77777777" w:rsidR="00332D3C" w:rsidRDefault="00490B04">
      <w:pPr>
        <w:spacing w:after="160" w:line="320" w:lineRule="auto"/>
      </w:pPr>
      <w:r>
        <w:rPr>
          <w:b/>
          <w:bCs/>
          <w:color w:val="1A1A2E"/>
        </w:rPr>
        <w:t xml:space="preserve">[1]  De Ryck, T. &amp; Mishra, S. (2022). </w:t>
      </w:r>
      <w:r>
        <w:rPr>
          <w:color w:val="1A1A2E"/>
        </w:rPr>
        <w:t>Error analysis for physics-informed neural networks (PINNs) approximating Kolmogorov PDEs. Advances in Computational Mathematics, 48, 79.</w:t>
      </w:r>
    </w:p>
    <w:p w14:paraId="7E511252" w14:textId="77777777" w:rsidR="00332D3C" w:rsidRDefault="00490B04">
      <w:pPr>
        <w:spacing w:after="160" w:line="320" w:lineRule="auto"/>
      </w:pPr>
      <w:r>
        <w:rPr>
          <w:b/>
          <w:bCs/>
          <w:color w:val="1A1A2E"/>
        </w:rPr>
        <w:t xml:space="preserve">[2]  Raissi, M., Perdikaris, P. &amp; Karniadakis, G.E. (2019). </w:t>
      </w:r>
      <w:r>
        <w:rPr>
          <w:color w:val="1A1A2E"/>
        </w:rPr>
        <w:t>Physics-informed neural networks: A deep learning framework for solving forward and inverse problems involving nonlinear PDEs. Journal of Computational Physics, 378, 686–707.</w:t>
      </w:r>
    </w:p>
    <w:p w14:paraId="7E511253" w14:textId="77777777" w:rsidR="00332D3C" w:rsidRDefault="00490B04">
      <w:pPr>
        <w:spacing w:after="160" w:line="320" w:lineRule="auto"/>
      </w:pPr>
      <w:r>
        <w:rPr>
          <w:b/>
          <w:bCs/>
          <w:color w:val="1A1A2E"/>
        </w:rPr>
        <w:t xml:space="preserve">[3]  Black, F. &amp; Scholes, M. (1973). </w:t>
      </w:r>
      <w:r>
        <w:rPr>
          <w:color w:val="1A1A2E"/>
        </w:rPr>
        <w:t>The pricing of options and corporate liabilities. Journal of Political Economy, 81(3), 637–654.</w:t>
      </w:r>
    </w:p>
    <w:p w14:paraId="7E511254" w14:textId="77777777" w:rsidR="00332D3C" w:rsidRDefault="00490B04">
      <w:pPr>
        <w:spacing w:after="160" w:line="320" w:lineRule="auto"/>
      </w:pPr>
      <w:r>
        <w:rPr>
          <w:b/>
          <w:bCs/>
          <w:color w:val="1A1A2E"/>
        </w:rPr>
        <w:t xml:space="preserve">[4]  Kingma, D.P. &amp; Ba, J. (2014). </w:t>
      </w:r>
      <w:r>
        <w:rPr>
          <w:color w:val="1A1A2E"/>
        </w:rPr>
        <w:t>Adam: A method for stochastic optimization. arXiv:1412.6980.</w:t>
      </w:r>
    </w:p>
    <w:p w14:paraId="7E511255" w14:textId="77777777" w:rsidR="00332D3C" w:rsidRDefault="00490B04">
      <w:pPr>
        <w:spacing w:after="160" w:line="320" w:lineRule="auto"/>
      </w:pPr>
      <w:r>
        <w:rPr>
          <w:b/>
          <w:bCs/>
          <w:color w:val="1A1A2E"/>
        </w:rPr>
        <w:t xml:space="preserve">[5]  Liu, D.C. &amp; Nocedal, J. (1989). </w:t>
      </w:r>
      <w:r>
        <w:rPr>
          <w:color w:val="1A1A2E"/>
        </w:rPr>
        <w:t>On the limited memory BFGS method for large-scale optimization. Mathematical Programming, 45(1–3), 503–528.</w:t>
      </w:r>
    </w:p>
    <w:p w14:paraId="7E511256" w14:textId="77777777" w:rsidR="00332D3C" w:rsidRDefault="00490B04">
      <w:pPr>
        <w:spacing w:after="160" w:line="320" w:lineRule="auto"/>
      </w:pPr>
      <w:r>
        <w:rPr>
          <w:b/>
          <w:bCs/>
          <w:color w:val="1A1A2E"/>
        </w:rPr>
        <w:t xml:space="preserve">[6]  Li, Z. et al. (2020). </w:t>
      </w:r>
      <w:r>
        <w:rPr>
          <w:color w:val="1A1A2E"/>
        </w:rPr>
        <w:t>Fourier neural operator for parametric partial differential equations. arXiv:2010.08895.</w:t>
      </w:r>
    </w:p>
    <w:p w14:paraId="7E511257" w14:textId="77777777" w:rsidR="00332D3C" w:rsidRDefault="00490B04">
      <w:pPr>
        <w:spacing w:after="160" w:line="320" w:lineRule="auto"/>
      </w:pPr>
      <w:r>
        <w:rPr>
          <w:b/>
          <w:bCs/>
          <w:color w:val="1A1A2E"/>
        </w:rPr>
        <w:t xml:space="preserve">[7]  Yang, L., Meng, X. &amp; Karniadakis, G.E. (2021). </w:t>
      </w:r>
      <w:r>
        <w:rPr>
          <w:color w:val="1A1A2E"/>
        </w:rPr>
        <w:t>B-PINNs: Bayesian physics-informed neural networks for forward and inverse PDE problems with noisy data. Journal of Computational Physics, 425, 109913.</w:t>
      </w:r>
    </w:p>
    <w:p w14:paraId="7E511258" w14:textId="77777777" w:rsidR="00332D3C" w:rsidRDefault="00490B04">
      <w:pPr>
        <w:spacing w:after="160" w:line="320" w:lineRule="auto"/>
      </w:pPr>
      <w:r>
        <w:rPr>
          <w:b/>
          <w:bCs/>
          <w:color w:val="1A1A2E"/>
        </w:rPr>
        <w:t xml:space="preserve">[8]  Buehler, H. et al. (2019). </w:t>
      </w:r>
      <w:r>
        <w:rPr>
          <w:color w:val="1A1A2E"/>
        </w:rPr>
        <w:t>Deep hedging. Quantitative Finance, 19(8), 1271–1291.</w:t>
      </w:r>
    </w:p>
    <w:p w14:paraId="7E511259" w14:textId="77777777" w:rsidR="00332D3C" w:rsidRDefault="00490B04">
      <w:pPr>
        <w:spacing w:after="160" w:line="320" w:lineRule="auto"/>
      </w:pPr>
      <w:r>
        <w:rPr>
          <w:b/>
          <w:bCs/>
          <w:color w:val="1A1A2E"/>
        </w:rPr>
        <w:t xml:space="preserve">[9]  Tanios, R. (2021). </w:t>
      </w:r>
      <w:r>
        <w:rPr>
          <w:color w:val="1A1A2E"/>
        </w:rPr>
        <w:t>Physics informed neural networks in computational finance: high-dimensional forward and inverse option pricing. Master's thesis, ETH Zurich.</w:t>
      </w:r>
    </w:p>
    <w:p w14:paraId="7E51125A" w14:textId="77777777" w:rsidR="00332D3C" w:rsidRDefault="00490B04">
      <w:pPr>
        <w:spacing w:after="160" w:line="320" w:lineRule="auto"/>
      </w:pPr>
      <w:r>
        <w:rPr>
          <w:b/>
          <w:bCs/>
          <w:color w:val="1A1A2E"/>
        </w:rPr>
        <w:t xml:space="preserve">[10] NSE Historical Returns Dataset (2008–2024). </w:t>
      </w:r>
      <w:r>
        <w:rPr>
          <w:color w:val="1A1A2E"/>
        </w:rPr>
        <w:t>50-stock daily return panel, sourced from Yahoo Finance API. Used for real-data collocation point sampling in this project.</w:t>
      </w:r>
    </w:p>
    <w:sectPr w:rsidR="00332D3C">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A90A7" w14:textId="77777777" w:rsidR="00490B04" w:rsidRDefault="00490B04">
      <w:r>
        <w:separator/>
      </w:r>
    </w:p>
  </w:endnote>
  <w:endnote w:type="continuationSeparator" w:id="0">
    <w:p w14:paraId="144C11DA" w14:textId="77777777" w:rsidR="00490B04" w:rsidRDefault="00490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126A" w14:textId="46CC1D67" w:rsidR="00332D3C" w:rsidRDefault="00490B04">
    <w:pP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E931F1">
      <w:rPr>
        <w:noProof/>
        <w:color w:val="555555"/>
        <w:sz w:val="18"/>
        <w:szCs w:val="18"/>
      </w:rPr>
      <w:t>2</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126C" w14:textId="1F90CBBE" w:rsidR="00332D3C" w:rsidRDefault="00490B04">
    <w:pP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E931F1">
      <w:rPr>
        <w:noProof/>
        <w:color w:val="555555"/>
        <w:sz w:val="18"/>
        <w:szCs w:val="18"/>
      </w:rPr>
      <w:t>4</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879D9" w14:textId="77777777" w:rsidR="00490B04" w:rsidRDefault="00490B04">
      <w:r>
        <w:separator/>
      </w:r>
    </w:p>
  </w:footnote>
  <w:footnote w:type="continuationSeparator" w:id="0">
    <w:p w14:paraId="33E05ED3" w14:textId="77777777" w:rsidR="00490B04" w:rsidRDefault="00490B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1269" w14:textId="77777777" w:rsidR="00332D3C" w:rsidRDefault="00490B04">
    <w:pPr>
      <w:pBdr>
        <w:bottom w:val="single" w:sz="6" w:space="1" w:color="2E75B6"/>
      </w:pBdr>
    </w:pPr>
    <w:r>
      <w:rPr>
        <w:color w:val="555555"/>
        <w:sz w:val="18"/>
        <w:szCs w:val="18"/>
      </w:rPr>
      <w:t>PINN-Based Option Pricing via SDEs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126B" w14:textId="77777777" w:rsidR="00332D3C" w:rsidRDefault="00490B04">
    <w:pPr>
      <w:pBdr>
        <w:bottom w:val="single" w:sz="6" w:space="1" w:color="2E75B6"/>
      </w:pBdr>
    </w:pPr>
    <w:r>
      <w:rPr>
        <w:color w:val="555555"/>
        <w:sz w:val="18"/>
        <w:szCs w:val="18"/>
      </w:rPr>
      <w:t>PINN-Based Option Pricing via SDEs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357"/>
    <w:multiLevelType w:val="hybridMultilevel"/>
    <w:tmpl w:val="8668AE72"/>
    <w:lvl w:ilvl="0" w:tplc="0200149E">
      <w:start w:val="1"/>
      <w:numFmt w:val="bullet"/>
      <w:lvlText w:val="●"/>
      <w:lvlJc w:val="left"/>
      <w:pPr>
        <w:ind w:left="720" w:hanging="360"/>
      </w:pPr>
    </w:lvl>
    <w:lvl w:ilvl="1" w:tplc="702EFEA6">
      <w:start w:val="1"/>
      <w:numFmt w:val="bullet"/>
      <w:lvlText w:val="○"/>
      <w:lvlJc w:val="left"/>
      <w:pPr>
        <w:ind w:left="1440" w:hanging="360"/>
      </w:pPr>
    </w:lvl>
    <w:lvl w:ilvl="2" w:tplc="B718C8E4">
      <w:start w:val="1"/>
      <w:numFmt w:val="bullet"/>
      <w:lvlText w:val="■"/>
      <w:lvlJc w:val="left"/>
      <w:pPr>
        <w:ind w:left="2160" w:hanging="360"/>
      </w:pPr>
    </w:lvl>
    <w:lvl w:ilvl="3" w:tplc="6ACA51B0">
      <w:start w:val="1"/>
      <w:numFmt w:val="bullet"/>
      <w:lvlText w:val="●"/>
      <w:lvlJc w:val="left"/>
      <w:pPr>
        <w:ind w:left="2880" w:hanging="360"/>
      </w:pPr>
    </w:lvl>
    <w:lvl w:ilvl="4" w:tplc="2B6AEB8A">
      <w:start w:val="1"/>
      <w:numFmt w:val="bullet"/>
      <w:lvlText w:val="○"/>
      <w:lvlJc w:val="left"/>
      <w:pPr>
        <w:ind w:left="3600" w:hanging="360"/>
      </w:pPr>
    </w:lvl>
    <w:lvl w:ilvl="5" w:tplc="D322505A">
      <w:start w:val="1"/>
      <w:numFmt w:val="bullet"/>
      <w:lvlText w:val="■"/>
      <w:lvlJc w:val="left"/>
      <w:pPr>
        <w:ind w:left="4320" w:hanging="360"/>
      </w:pPr>
    </w:lvl>
    <w:lvl w:ilvl="6" w:tplc="EFBCB3B2">
      <w:start w:val="1"/>
      <w:numFmt w:val="bullet"/>
      <w:lvlText w:val="●"/>
      <w:lvlJc w:val="left"/>
      <w:pPr>
        <w:ind w:left="5040" w:hanging="360"/>
      </w:pPr>
    </w:lvl>
    <w:lvl w:ilvl="7" w:tplc="5AAA7F40">
      <w:start w:val="1"/>
      <w:numFmt w:val="bullet"/>
      <w:lvlText w:val="●"/>
      <w:lvlJc w:val="left"/>
      <w:pPr>
        <w:ind w:left="5760" w:hanging="360"/>
      </w:pPr>
    </w:lvl>
    <w:lvl w:ilvl="8" w:tplc="310C0FC2">
      <w:start w:val="1"/>
      <w:numFmt w:val="bullet"/>
      <w:lvlText w:val="●"/>
      <w:lvlJc w:val="left"/>
      <w:pPr>
        <w:ind w:left="6480" w:hanging="360"/>
      </w:pPr>
    </w:lvl>
  </w:abstractNum>
  <w:abstractNum w:abstractNumId="1" w15:restartNumberingAfterBreak="0">
    <w:nsid w:val="120D3910"/>
    <w:multiLevelType w:val="hybridMultilevel"/>
    <w:tmpl w:val="A6F8159C"/>
    <w:lvl w:ilvl="0" w:tplc="6CA0C646">
      <w:start w:val="1"/>
      <w:numFmt w:val="bullet"/>
      <w:lvlText w:val="•"/>
      <w:lvlJc w:val="left"/>
      <w:pPr>
        <w:ind w:left="720" w:hanging="360"/>
      </w:pPr>
    </w:lvl>
    <w:lvl w:ilvl="1" w:tplc="1C926B42">
      <w:numFmt w:val="decimal"/>
      <w:lvlText w:val=""/>
      <w:lvlJc w:val="left"/>
    </w:lvl>
    <w:lvl w:ilvl="2" w:tplc="50288B0E">
      <w:numFmt w:val="decimal"/>
      <w:lvlText w:val=""/>
      <w:lvlJc w:val="left"/>
    </w:lvl>
    <w:lvl w:ilvl="3" w:tplc="17D2496C">
      <w:numFmt w:val="decimal"/>
      <w:lvlText w:val=""/>
      <w:lvlJc w:val="left"/>
    </w:lvl>
    <w:lvl w:ilvl="4" w:tplc="00B45DAE">
      <w:numFmt w:val="decimal"/>
      <w:lvlText w:val=""/>
      <w:lvlJc w:val="left"/>
    </w:lvl>
    <w:lvl w:ilvl="5" w:tplc="32DC6EC2">
      <w:numFmt w:val="decimal"/>
      <w:lvlText w:val=""/>
      <w:lvlJc w:val="left"/>
    </w:lvl>
    <w:lvl w:ilvl="6" w:tplc="7AE2A82A">
      <w:numFmt w:val="decimal"/>
      <w:lvlText w:val=""/>
      <w:lvlJc w:val="left"/>
    </w:lvl>
    <w:lvl w:ilvl="7" w:tplc="D99CCA0E">
      <w:numFmt w:val="decimal"/>
      <w:lvlText w:val=""/>
      <w:lvlJc w:val="left"/>
    </w:lvl>
    <w:lvl w:ilvl="8" w:tplc="3310799A">
      <w:numFmt w:val="decimal"/>
      <w:lvlText w:val=""/>
      <w:lvlJc w:val="left"/>
    </w:lvl>
  </w:abstractNum>
  <w:abstractNum w:abstractNumId="2" w15:restartNumberingAfterBreak="0">
    <w:nsid w:val="7290575B"/>
    <w:multiLevelType w:val="hybridMultilevel"/>
    <w:tmpl w:val="2674A5B6"/>
    <w:lvl w:ilvl="0" w:tplc="D2FE0090">
      <w:start w:val="1"/>
      <w:numFmt w:val="decimal"/>
      <w:lvlText w:val="%1."/>
      <w:lvlJc w:val="left"/>
      <w:pPr>
        <w:ind w:left="720" w:hanging="360"/>
      </w:pPr>
    </w:lvl>
    <w:lvl w:ilvl="1" w:tplc="07A4936A">
      <w:numFmt w:val="decimal"/>
      <w:lvlText w:val=""/>
      <w:lvlJc w:val="left"/>
    </w:lvl>
    <w:lvl w:ilvl="2" w:tplc="ABD0F81E">
      <w:numFmt w:val="decimal"/>
      <w:lvlText w:val=""/>
      <w:lvlJc w:val="left"/>
    </w:lvl>
    <w:lvl w:ilvl="3" w:tplc="3CA29FE2">
      <w:numFmt w:val="decimal"/>
      <w:lvlText w:val=""/>
      <w:lvlJc w:val="left"/>
    </w:lvl>
    <w:lvl w:ilvl="4" w:tplc="26AAB1AC">
      <w:numFmt w:val="decimal"/>
      <w:lvlText w:val=""/>
      <w:lvlJc w:val="left"/>
    </w:lvl>
    <w:lvl w:ilvl="5" w:tplc="944CA150">
      <w:numFmt w:val="decimal"/>
      <w:lvlText w:val=""/>
      <w:lvlJc w:val="left"/>
    </w:lvl>
    <w:lvl w:ilvl="6" w:tplc="EB862F44">
      <w:numFmt w:val="decimal"/>
      <w:lvlText w:val=""/>
      <w:lvlJc w:val="left"/>
    </w:lvl>
    <w:lvl w:ilvl="7" w:tplc="A9909D54">
      <w:numFmt w:val="decimal"/>
      <w:lvlText w:val=""/>
      <w:lvlJc w:val="left"/>
    </w:lvl>
    <w:lvl w:ilvl="8" w:tplc="1932EAFA">
      <w:numFmt w:val="decimal"/>
      <w:lvlText w:val=""/>
      <w:lvlJc w:val="left"/>
    </w:lvl>
  </w:abstractNum>
  <w:num w:numId="1" w16cid:durableId="2003728091">
    <w:abstractNumId w:val="0"/>
    <w:lvlOverride w:ilvl="0">
      <w:startOverride w:val="1"/>
    </w:lvlOverride>
  </w:num>
  <w:num w:numId="2" w16cid:durableId="9630745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D3C"/>
    <w:rsid w:val="00017510"/>
    <w:rsid w:val="00107E11"/>
    <w:rsid w:val="001D3F7E"/>
    <w:rsid w:val="00265096"/>
    <w:rsid w:val="0032643C"/>
    <w:rsid w:val="00332D3C"/>
    <w:rsid w:val="00490B04"/>
    <w:rsid w:val="004D1891"/>
    <w:rsid w:val="004F5F1F"/>
    <w:rsid w:val="007178FE"/>
    <w:rsid w:val="0089724B"/>
    <w:rsid w:val="00A57451"/>
    <w:rsid w:val="00A979B4"/>
    <w:rsid w:val="00AB0738"/>
    <w:rsid w:val="00B044F9"/>
    <w:rsid w:val="00B93E4F"/>
    <w:rsid w:val="00E931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11100"/>
  <w15:docId w15:val="{D9A31BAA-FED2-495C-AE48-0C1272993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6B"/>
      <w:sz w:val="44"/>
      <w:szCs w:val="44"/>
    </w:rPr>
  </w:style>
  <w:style w:type="paragraph" w:styleId="Heading2">
    <w:name w:val="heading 2"/>
    <w:uiPriority w:val="9"/>
    <w:unhideWhenUsed/>
    <w:qFormat/>
    <w:pPr>
      <w:spacing w:before="300" w:after="150"/>
      <w:outlineLvl w:val="1"/>
    </w:pPr>
    <w:rPr>
      <w:b/>
      <w:bCs/>
      <w:color w:val="2E75B6"/>
      <w:sz w:val="32"/>
      <w:szCs w:val="32"/>
    </w:rPr>
  </w:style>
  <w:style w:type="paragraph" w:styleId="Heading3">
    <w:name w:val="heading 3"/>
    <w:uiPriority w:val="9"/>
    <w:semiHidden/>
    <w:unhideWhenUsed/>
    <w:qFormat/>
    <w:pPr>
      <w:spacing w:before="240" w:after="120"/>
      <w:outlineLvl w:val="2"/>
    </w:pPr>
    <w:rPr>
      <w:b/>
      <w:bCs/>
      <w:color w:val="2E75B6"/>
      <w:sz w:val="26"/>
      <w:szCs w:val="26"/>
    </w:rPr>
  </w:style>
  <w:style w:type="paragraph" w:styleId="Heading4">
    <w:name w:val="heading 4"/>
    <w:uiPriority w:val="9"/>
    <w:semiHidden/>
    <w:unhideWhenUsed/>
    <w:qFormat/>
    <w:pPr>
      <w:spacing w:before="200" w:after="100"/>
      <w:outlineLvl w:val="3"/>
    </w:pPr>
    <w:rPr>
      <w:b/>
      <w:bCs/>
      <w:color w:val="1B3A6B"/>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931F1"/>
    <w:pPr>
      <w:spacing w:after="100"/>
    </w:pPr>
  </w:style>
  <w:style w:type="paragraph" w:styleId="TOC2">
    <w:name w:val="toc 2"/>
    <w:basedOn w:val="Normal"/>
    <w:next w:val="Normal"/>
    <w:autoRedefine/>
    <w:uiPriority w:val="39"/>
    <w:unhideWhenUsed/>
    <w:rsid w:val="00E931F1"/>
    <w:pPr>
      <w:spacing w:after="100"/>
      <w:ind w:left="220"/>
    </w:pPr>
  </w:style>
  <w:style w:type="paragraph" w:styleId="Header">
    <w:name w:val="header"/>
    <w:basedOn w:val="Normal"/>
    <w:link w:val="HeaderChar"/>
    <w:uiPriority w:val="99"/>
    <w:unhideWhenUsed/>
    <w:rsid w:val="00E931F1"/>
    <w:pPr>
      <w:tabs>
        <w:tab w:val="center" w:pos="4513"/>
        <w:tab w:val="right" w:pos="9026"/>
      </w:tabs>
    </w:pPr>
  </w:style>
  <w:style w:type="character" w:customStyle="1" w:styleId="HeaderChar">
    <w:name w:val="Header Char"/>
    <w:basedOn w:val="DefaultParagraphFont"/>
    <w:link w:val="Header"/>
    <w:uiPriority w:val="99"/>
    <w:rsid w:val="00E931F1"/>
  </w:style>
  <w:style w:type="paragraph" w:styleId="Footer">
    <w:name w:val="footer"/>
    <w:basedOn w:val="Normal"/>
    <w:link w:val="FooterChar"/>
    <w:uiPriority w:val="99"/>
    <w:unhideWhenUsed/>
    <w:rsid w:val="00E931F1"/>
    <w:pPr>
      <w:tabs>
        <w:tab w:val="center" w:pos="4513"/>
        <w:tab w:val="right" w:pos="9026"/>
      </w:tabs>
    </w:pPr>
  </w:style>
  <w:style w:type="character" w:customStyle="1" w:styleId="FooterChar">
    <w:name w:val="Footer Char"/>
    <w:basedOn w:val="DefaultParagraphFont"/>
    <w:link w:val="Footer"/>
    <w:uiPriority w:val="99"/>
    <w:rsid w:val="00E93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21</Pages>
  <Words>4612</Words>
  <Characters>26289</Characters>
  <Application>Microsoft Office Word</Application>
  <DocSecurity>0</DocSecurity>
  <Lines>219</Lines>
  <Paragraphs>61</Paragraphs>
  <ScaleCrop>false</ScaleCrop>
  <Company/>
  <LinksUpToDate>false</LinksUpToDate>
  <CharactersWithSpaces>30840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yatharthmehta0508@gmail.com</cp:lastModifiedBy>
  <cp:revision>16</cp:revision>
  <dcterms:created xsi:type="dcterms:W3CDTF">2026-05-08T00:04:00Z</dcterms:created>
  <dcterms:modified xsi:type="dcterms:W3CDTF">2026-05-08T00:30:00Z</dcterms:modified>
</cp:coreProperties>
</file>