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Entity Relationship (ER) Diagram</w:t>
      </w:r>
    </w:p>
    <w:p/>
    <w:p>
      <w:r>
        <w:t xml:space="preserve">The ER Diagram of FinRelief AI illustrates the relationships between Users, Loan Profiles, and Negotiation History, ensuring efficient data management and personalized financial planning.</w:t>
      </w:r>
    </w:p>
    <w:p/>
    <w:p>
      <w:pPr>
        <w:jc w:val="center"/>
      </w:pPr>
      <w:r>
        <w:drawing>
          <wp:inline distT="0" distB="0" distL="0" distR="0">
            <wp:extent cx="5524500" cy="2333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rPr>
          <w:b/>
          <w:bCs/>
        </w:rPr>
        <w:t xml:space="preserve">Relationships:</w:t>
      </w:r>
    </w:p>
    <w:p>
      <w:r>
        <w:t xml:space="preserve">User (1) — LoanProfile (Many): a borrower can hold multiple loan profiles.</w:t>
      </w:r>
    </w:p>
    <w:p>
      <w:r>
        <w:t xml:space="preserve">LoanProfile (1) — NegotiationHistory (Many): each loan can have multiple AI-generated settlement recommendations and negotiation letters over time.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167338377889e0c2b3d62046b820a7bb0ecf61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2026-07-19T17:05:59.720Z</dcterms:created>
  <dcterms:modified xsi:type="dcterms:W3CDTF">2026-07-19T17:05:59.735Z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