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color w:val="1B365D"/>
          <w:sz w:val="44"/>
        </w:rPr>
        <w:t>AI-Era Operating Model Redesign</w:t>
      </w:r>
    </w:p>
    <w:p>
      <w:pPr>
        <w:spacing w:after="280"/>
      </w:pPr>
      <w:r>
        <w:rPr>
          <w:i/>
          <w:color w:val="4A5568"/>
          <w:sz w:val="24"/>
        </w:rPr>
        <w:t>A 2026 Enterprise Research Synthesis: Workflows, Agentic Systems, and Structural Transformation</w:t>
      </w:r>
    </w:p>
    <w:tbl>
      <w:tblPr>
        <w:tblW w:type="auto" w:w="0"/>
        <w:jc w:val="center"/>
        <w:tblLayout w:type="fixed"/>
        <w:tblLook w:firstColumn="1" w:firstRow="1" w:lastColumn="0" w:lastRow="0" w:noHBand="0" w:noVBand="1" w:val="04A0"/>
      </w:tblPr>
      <w:tblGrid>
        <w:gridCol w:w="2880"/>
        <w:gridCol w:w="6480"/>
      </w:tblGrid>
      <w:tr>
        <w:tc>
          <w:tcPr>
            <w:tcW w:type="dxa" w:w="4680"/>
            <w:shd w:fill="F0F4F8"/>
            <w:tcMar>
              <w:top w:w="60" w:type="dxa"/>
              <w:bottom w:w="60" w:type="dxa"/>
              <w:left w:w="100" w:type="dxa"/>
              <w:right w:w="100" w:type="dxa"/>
            </w:tcMar>
          </w:tcPr>
          <w:p>
            <w:pPr>
              <w:spacing w:after="0"/>
            </w:pPr>
            <w:r>
              <w:rPr>
                <w:b/>
                <w:color w:val="1B365D"/>
                <w:sz w:val="19"/>
              </w:rPr>
              <w:t>Research Cutoff Date:</w:t>
            </w:r>
          </w:p>
        </w:tc>
        <w:tc>
          <w:tcPr>
            <w:tcW w:type="dxa" w:w="4680"/>
            <w:shd w:fill="FAFAFA"/>
            <w:tcMar>
              <w:top w:w="60" w:type="dxa"/>
              <w:bottom w:w="60" w:type="dxa"/>
              <w:left w:w="100" w:type="dxa"/>
              <w:right w:w="100" w:type="dxa"/>
            </w:tcMar>
          </w:tcPr>
          <w:p>
            <w:pPr>
              <w:spacing w:after="0"/>
            </w:pPr>
            <w:r>
              <w:rPr>
                <w:color w:val="4A5568"/>
                <w:sz w:val="19"/>
              </w:rPr>
              <w:t>August 27, 2026</w:t>
            </w:r>
          </w:p>
        </w:tc>
      </w:tr>
      <w:tr>
        <w:tc>
          <w:tcPr>
            <w:tcW w:type="dxa" w:w="4680"/>
            <w:shd w:fill="F0F4F8"/>
            <w:tcMar>
              <w:top w:w="60" w:type="dxa"/>
              <w:bottom w:w="60" w:type="dxa"/>
              <w:left w:w="100" w:type="dxa"/>
              <w:right w:w="100" w:type="dxa"/>
            </w:tcMar>
          </w:tcPr>
          <w:p>
            <w:pPr>
              <w:spacing w:after="0"/>
            </w:pPr>
            <w:r>
              <w:rPr>
                <w:b/>
                <w:color w:val="1B365D"/>
                <w:sz w:val="19"/>
              </w:rPr>
              <w:t>Primary Evidence Base:</w:t>
            </w:r>
          </w:p>
        </w:tc>
        <w:tc>
          <w:tcPr>
            <w:tcW w:type="dxa" w:w="4680"/>
            <w:shd w:fill="FAFAFA"/>
            <w:tcMar>
              <w:top w:w="60" w:type="dxa"/>
              <w:bottom w:w="60" w:type="dxa"/>
              <w:left w:w="100" w:type="dxa"/>
              <w:right w:w="100" w:type="dxa"/>
            </w:tcMar>
          </w:tcPr>
          <w:p>
            <w:pPr>
              <w:spacing w:after="0"/>
            </w:pPr>
            <w:r>
              <w:rPr>
                <w:color w:val="4A5568"/>
                <w:sz w:val="19"/>
              </w:rPr>
              <w:t>McKinsey, BCG, Bain, Deloitte, PwC, EY, KPMG, Gartner, Accenture, IBM, WEF, Stanford HAI</w:t>
            </w:r>
          </w:p>
        </w:tc>
      </w:tr>
      <w:tr>
        <w:tc>
          <w:tcPr>
            <w:tcW w:type="dxa" w:w="4680"/>
            <w:shd w:fill="F0F4F8"/>
            <w:tcMar>
              <w:top w:w="60" w:type="dxa"/>
              <w:bottom w:w="60" w:type="dxa"/>
              <w:left w:w="100" w:type="dxa"/>
              <w:right w:w="100" w:type="dxa"/>
            </w:tcMar>
          </w:tcPr>
          <w:p>
            <w:pPr>
              <w:spacing w:after="0"/>
            </w:pPr>
            <w:r>
              <w:rPr>
                <w:b/>
                <w:color w:val="1B365D"/>
                <w:sz w:val="19"/>
              </w:rPr>
              <w:t>Methodology:</w:t>
            </w:r>
          </w:p>
        </w:tc>
        <w:tc>
          <w:tcPr>
            <w:tcW w:type="dxa" w:w="4680"/>
            <w:shd w:fill="FAFAFA"/>
            <w:tcMar>
              <w:top w:w="60" w:type="dxa"/>
              <w:bottom w:w="60" w:type="dxa"/>
              <w:left w:w="100" w:type="dxa"/>
              <w:right w:w="100" w:type="dxa"/>
            </w:tcMar>
          </w:tcPr>
          <w:p>
            <w:pPr>
              <w:spacing w:after="0"/>
            </w:pPr>
            <w:r>
              <w:rPr>
                <w:color w:val="4A5568"/>
                <w:sz w:val="19"/>
              </w:rPr>
              <w:t>Cross-Institutional Synthesis, Econometric Modeling &amp; Case Meta-Analysis</w:t>
            </w:r>
          </w:p>
        </w:tc>
      </w:tr>
    </w:tbl>
    <w:p>
      <w:pPr>
        <w:spacing w:after="200"/>
      </w:pPr>
    </w:p>
    <w:p>
      <w:pPr>
        <w:keepNext/>
        <w:spacing w:before="320" w:after="120"/>
      </w:pPr>
      <w:r>
        <w:rPr>
          <w:b/>
          <w:color w:val="1B365D"/>
          <w:sz w:val="28"/>
        </w:rPr>
        <w:t>1. Executive Summary &amp; The 2026 AI Paradox</w:t>
      </w:r>
    </w:p>
    <w:p>
      <w:r>
        <w:t>By mid-2026, enterprise technology reached a critical inflection point: while organizational adoption of generative AI reached 88%, over 80% of enterprises report negligible EBITDA impact from initial deployments. This research demonstrates that the root cause of this 'AI Productivity Paradox' is the Automation Trap—layering autonomous agents and foundation models on top of 20th-century functional hierarchies.</w:t>
      </w:r>
    </w:p>
    <w:p>
      <w:r>
        <w:t>Capturing sustainable economic returns requires a fundamental Operating Model Redesign—shifting the fundamental unit of organizational architecture from static 'jobs and functional departments' to dynamic 'end-to-end value streams executed by hybrid human–agent outcome pods.'</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after="0"/>
            </w:pPr>
            <w:r>
              <w:rPr>
                <w:b/>
                <w:color w:val="1B365D"/>
                <w:sz w:val="20"/>
              </w:rPr>
              <w:t xml:space="preserve">THE 74/20 CONCENTRATION LAW: </w:t>
            </w:r>
            <w:r>
              <w:rPr>
                <w:color w:val="4A5568"/>
                <w:sz w:val="20"/>
              </w:rPr>
              <w:t>PwC's 2026 AI Performance Study confirms that 20% of organizations capture 74% of AI's total global economic gains. These leaders are 2.8x more likely to deploy autonomous decisions and 2x more likely to have completely redesigned workflows.</w:t>
            </w:r>
          </w:p>
        </w:tc>
      </w:tr>
    </w:tbl>
    <w:p/>
    <w:p>
      <w:pPr>
        <w:keepNext/>
        <w:spacing w:before="320" w:after="120"/>
      </w:pPr>
      <w:r>
        <w:rPr>
          <w:b/>
          <w:color w:val="1B365D"/>
          <w:sz w:val="28"/>
        </w:rPr>
        <w:t>2. Cross-Institutional Consensus Matrix (11 Global Institutions)</w:t>
      </w:r>
    </w:p>
    <w:p>
      <w:r>
        <w:t>A synthesis of leading management, strategy, and technology advisory frameworks across the global landscape:</w:t>
      </w:r>
    </w:p>
    <w:tbl>
      <w:tblPr>
        <w:tblW w:type="auto" w:w="0"/>
        <w:jc w:val="center"/>
        <w:tblLayout w:type="fixed"/>
        <w:tblLook w:firstColumn="1" w:firstRow="1" w:lastColumn="0" w:lastRow="0" w:noHBand="0" w:noVBand="1" w:val="04A0"/>
      </w:tblPr>
      <w:tblGrid>
        <w:gridCol w:w="2160"/>
        <w:gridCol w:w="3168"/>
        <w:gridCol w:w="4032"/>
      </w:tblGrid>
      <w:tr>
        <w:tc>
          <w:tcPr>
            <w:tcW w:type="dxa" w:w="3120"/>
            <w:shd w:fill="1B365D"/>
            <w:tcMar>
              <w:top w:w="100" w:type="dxa"/>
              <w:bottom w:w="100" w:type="dxa"/>
              <w:left w:w="100" w:type="dxa"/>
              <w:right w:w="100" w:type="dxa"/>
            </w:tcMar>
          </w:tcPr>
          <w:p>
            <w:pPr>
              <w:spacing w:after="0"/>
            </w:pPr>
            <w:r>
              <w:rPr>
                <w:b/>
                <w:color w:val="FFFFFF"/>
                <w:sz w:val="19"/>
              </w:rPr>
              <w:t>Institution</w:t>
            </w:r>
          </w:p>
        </w:tc>
        <w:tc>
          <w:tcPr>
            <w:tcW w:type="dxa" w:w="3120"/>
            <w:shd w:fill="1B365D"/>
            <w:tcMar>
              <w:top w:w="100" w:type="dxa"/>
              <w:bottom w:w="100" w:type="dxa"/>
              <w:left w:w="100" w:type="dxa"/>
              <w:right w:w="100" w:type="dxa"/>
            </w:tcMar>
          </w:tcPr>
          <w:p>
            <w:pPr>
              <w:spacing w:after="0"/>
            </w:pPr>
            <w:r>
              <w:rPr>
                <w:b/>
                <w:color w:val="FFFFFF"/>
                <w:sz w:val="19"/>
              </w:rPr>
              <w:t>Core Framework / Concept</w:t>
            </w:r>
          </w:p>
        </w:tc>
        <w:tc>
          <w:tcPr>
            <w:tcW w:type="dxa" w:w="3120"/>
            <w:shd w:fill="1B365D"/>
            <w:tcMar>
              <w:top w:w="100" w:type="dxa"/>
              <w:bottom w:w="100" w:type="dxa"/>
              <w:left w:w="100" w:type="dxa"/>
              <w:right w:w="100" w:type="dxa"/>
            </w:tcMar>
          </w:tcPr>
          <w:p>
            <w:pPr>
              <w:spacing w:after="0"/>
            </w:pPr>
            <w:r>
              <w:rPr>
                <w:b/>
                <w:color w:val="FFFFFF"/>
                <w:sz w:val="19"/>
              </w:rPr>
              <w:t>Key Operational Mechanism</w:t>
            </w:r>
          </w:p>
        </w:tc>
      </w:tr>
      <w:tr>
        <w:tc>
          <w:tcPr>
            <w:tcW w:type="dxa" w:w="3120"/>
            <w:shd w:fill="F0F4F8"/>
            <w:tcMar>
              <w:top w:w="80" w:type="dxa"/>
              <w:bottom w:w="80" w:type="dxa"/>
              <w:left w:w="100" w:type="dxa"/>
              <w:right w:w="100" w:type="dxa"/>
            </w:tcMar>
          </w:tcPr>
          <w:p>
            <w:pPr>
              <w:spacing w:after="0"/>
            </w:pPr>
            <w:r>
              <w:rPr>
                <w:b/>
                <w:color w:val="1B365D"/>
                <w:sz w:val="18"/>
              </w:rPr>
              <w:t>McKinsey &amp; Company</w:t>
            </w:r>
          </w:p>
        </w:tc>
        <w:tc>
          <w:tcPr>
            <w:tcW w:type="dxa" w:w="3120"/>
            <w:shd w:fill="F0F4F8"/>
            <w:tcMar>
              <w:top w:w="80" w:type="dxa"/>
              <w:bottom w:w="80" w:type="dxa"/>
              <w:left w:w="100" w:type="dxa"/>
              <w:right w:w="100" w:type="dxa"/>
            </w:tcMar>
          </w:tcPr>
          <w:p>
            <w:pPr>
              <w:spacing w:after="0"/>
            </w:pPr>
            <w:r>
              <w:rPr>
                <w:color w:val="4A5568"/>
                <w:sz w:val="18"/>
              </w:rPr>
              <w:t>Operating Model Advantage &amp; Agentic Economics</w:t>
            </w:r>
          </w:p>
        </w:tc>
        <w:tc>
          <w:tcPr>
            <w:tcW w:type="dxa" w:w="3120"/>
            <w:shd w:fill="F0F4F8"/>
            <w:tcMar>
              <w:top w:w="80" w:type="dxa"/>
              <w:bottom w:w="80" w:type="dxa"/>
              <w:left w:w="100" w:type="dxa"/>
              <w:right w:w="100" w:type="dxa"/>
            </w:tcMar>
          </w:tcPr>
          <w:p>
            <w:pPr>
              <w:spacing w:after="0"/>
            </w:pPr>
            <w:r>
              <w:rPr>
                <w:color w:val="4A5568"/>
                <w:sz w:val="18"/>
              </w:rPr>
              <w:t>Decompose domain workflows; move humans 'above the loop' into governance.</w:t>
            </w:r>
          </w:p>
        </w:tc>
      </w:tr>
      <w:tr>
        <w:tc>
          <w:tcPr>
            <w:tcW w:type="dxa" w:w="3120"/>
            <w:shd w:fill="FFFFFF"/>
            <w:tcMar>
              <w:top w:w="80" w:type="dxa"/>
              <w:bottom w:w="80" w:type="dxa"/>
              <w:left w:w="100" w:type="dxa"/>
              <w:right w:w="100" w:type="dxa"/>
            </w:tcMar>
          </w:tcPr>
          <w:p>
            <w:pPr>
              <w:spacing w:after="0"/>
            </w:pPr>
            <w:r>
              <w:rPr>
                <w:b/>
                <w:color w:val="1B365D"/>
                <w:sz w:val="18"/>
              </w:rPr>
              <w:t>BCG</w:t>
            </w:r>
          </w:p>
        </w:tc>
        <w:tc>
          <w:tcPr>
            <w:tcW w:type="dxa" w:w="3120"/>
            <w:shd w:fill="FFFFFF"/>
            <w:tcMar>
              <w:top w:w="80" w:type="dxa"/>
              <w:bottom w:w="80" w:type="dxa"/>
              <w:left w:w="100" w:type="dxa"/>
              <w:right w:w="100" w:type="dxa"/>
            </w:tcMar>
          </w:tcPr>
          <w:p>
            <w:pPr>
              <w:spacing w:after="0"/>
            </w:pPr>
            <w:r>
              <w:rPr>
                <w:color w:val="4A5568"/>
                <w:sz w:val="18"/>
              </w:rPr>
              <w:t>AI-First Enterprise Operations (10/20/70)</w:t>
            </w:r>
          </w:p>
        </w:tc>
        <w:tc>
          <w:tcPr>
            <w:tcW w:type="dxa" w:w="3120"/>
            <w:shd w:fill="FFFFFF"/>
            <w:tcMar>
              <w:top w:w="80" w:type="dxa"/>
              <w:bottom w:w="80" w:type="dxa"/>
              <w:left w:w="100" w:type="dxa"/>
              <w:right w:w="100" w:type="dxa"/>
            </w:tcMar>
          </w:tcPr>
          <w:p>
            <w:pPr>
              <w:spacing w:after="0"/>
            </w:pPr>
            <w:r>
              <w:rPr>
                <w:color w:val="4A5568"/>
                <w:sz w:val="18"/>
              </w:rPr>
              <w:t>70% of ROI is operating model redesign; 60% cost reductions in redesigned value streams.</w:t>
            </w:r>
          </w:p>
        </w:tc>
      </w:tr>
      <w:tr>
        <w:tc>
          <w:tcPr>
            <w:tcW w:type="dxa" w:w="3120"/>
            <w:shd w:fill="F0F4F8"/>
            <w:tcMar>
              <w:top w:w="80" w:type="dxa"/>
              <w:bottom w:w="80" w:type="dxa"/>
              <w:left w:w="100" w:type="dxa"/>
              <w:right w:w="100" w:type="dxa"/>
            </w:tcMar>
          </w:tcPr>
          <w:p>
            <w:pPr>
              <w:spacing w:after="0"/>
            </w:pPr>
            <w:r>
              <w:rPr>
                <w:b/>
                <w:color w:val="1B365D"/>
                <w:sz w:val="18"/>
              </w:rPr>
              <w:t>Bain &amp; Company</w:t>
            </w:r>
          </w:p>
        </w:tc>
        <w:tc>
          <w:tcPr>
            <w:tcW w:type="dxa" w:w="3120"/>
            <w:shd w:fill="F0F4F8"/>
            <w:tcMar>
              <w:top w:w="80" w:type="dxa"/>
              <w:bottom w:w="80" w:type="dxa"/>
              <w:left w:w="100" w:type="dxa"/>
              <w:right w:w="100" w:type="dxa"/>
            </w:tcMar>
          </w:tcPr>
          <w:p>
            <w:pPr>
              <w:spacing w:after="0"/>
            </w:pPr>
            <w:r>
              <w:rPr>
                <w:color w:val="4A5568"/>
                <w:sz w:val="18"/>
              </w:rPr>
              <w:t>Agentic Operating Model &amp; 'Agent Bosses'</w:t>
            </w:r>
          </w:p>
        </w:tc>
        <w:tc>
          <w:tcPr>
            <w:tcW w:type="dxa" w:w="3120"/>
            <w:shd w:fill="F0F4F8"/>
            <w:tcMar>
              <w:top w:w="80" w:type="dxa"/>
              <w:bottom w:w="80" w:type="dxa"/>
              <w:left w:w="100" w:type="dxa"/>
              <w:right w:w="100" w:type="dxa"/>
            </w:tcMar>
          </w:tcPr>
          <w:p>
            <w:pPr>
              <w:spacing w:after="0"/>
            </w:pPr>
            <w:r>
              <w:rPr>
                <w:color w:val="4A5568"/>
                <w:sz w:val="18"/>
              </w:rPr>
              <w:t>Spans &amp; layers obsolete; reorganize into persistent, long-running agent meshes.</w:t>
            </w:r>
          </w:p>
        </w:tc>
      </w:tr>
      <w:tr>
        <w:tc>
          <w:tcPr>
            <w:tcW w:type="dxa" w:w="3120"/>
            <w:shd w:fill="FFFFFF"/>
            <w:tcMar>
              <w:top w:w="80" w:type="dxa"/>
              <w:bottom w:w="80" w:type="dxa"/>
              <w:left w:w="100" w:type="dxa"/>
              <w:right w:w="100" w:type="dxa"/>
            </w:tcMar>
          </w:tcPr>
          <w:p>
            <w:pPr>
              <w:spacing w:after="0"/>
            </w:pPr>
            <w:r>
              <w:rPr>
                <w:b/>
                <w:color w:val="1B365D"/>
                <w:sz w:val="18"/>
              </w:rPr>
              <w:t>Deloitte</w:t>
            </w:r>
          </w:p>
        </w:tc>
        <w:tc>
          <w:tcPr>
            <w:tcW w:type="dxa" w:w="3120"/>
            <w:shd w:fill="FFFFFF"/>
            <w:tcMar>
              <w:top w:w="80" w:type="dxa"/>
              <w:bottom w:w="80" w:type="dxa"/>
              <w:left w:w="100" w:type="dxa"/>
              <w:right w:w="100" w:type="dxa"/>
            </w:tcMar>
          </w:tcPr>
          <w:p>
            <w:pPr>
              <w:spacing w:after="0"/>
            </w:pPr>
            <w:r>
              <w:rPr>
                <w:color w:val="4A5568"/>
                <w:sz w:val="18"/>
              </w:rPr>
              <w:t>Continuous Coordination Architecture</w:t>
            </w:r>
          </w:p>
        </w:tc>
        <w:tc>
          <w:tcPr>
            <w:tcW w:type="dxa" w:w="3120"/>
            <w:shd w:fill="FFFFFF"/>
            <w:tcMar>
              <w:top w:w="80" w:type="dxa"/>
              <w:bottom w:w="80" w:type="dxa"/>
              <w:left w:w="100" w:type="dxa"/>
              <w:right w:w="100" w:type="dxa"/>
            </w:tcMar>
          </w:tcPr>
          <w:p>
            <w:pPr>
              <w:spacing w:after="0"/>
            </w:pPr>
            <w:r>
              <w:rPr>
                <w:color w:val="4A5568"/>
                <w:sz w:val="18"/>
              </w:rPr>
              <w:t>Move from hierarchical control to dynamic coordination; 84% un-redesigned jobs gap.</w:t>
            </w:r>
          </w:p>
        </w:tc>
      </w:tr>
      <w:tr>
        <w:tc>
          <w:tcPr>
            <w:tcW w:type="dxa" w:w="3120"/>
            <w:shd w:fill="F0F4F8"/>
            <w:tcMar>
              <w:top w:w="80" w:type="dxa"/>
              <w:bottom w:w="80" w:type="dxa"/>
              <w:left w:w="100" w:type="dxa"/>
              <w:right w:w="100" w:type="dxa"/>
            </w:tcMar>
          </w:tcPr>
          <w:p>
            <w:pPr>
              <w:spacing w:after="0"/>
            </w:pPr>
            <w:r>
              <w:rPr>
                <w:b/>
                <w:color w:val="1B365D"/>
                <w:sz w:val="18"/>
              </w:rPr>
              <w:t>PwC</w:t>
            </w:r>
          </w:p>
        </w:tc>
        <w:tc>
          <w:tcPr>
            <w:tcW w:type="dxa" w:w="3120"/>
            <w:shd w:fill="F0F4F8"/>
            <w:tcMar>
              <w:top w:w="80" w:type="dxa"/>
              <w:bottom w:w="80" w:type="dxa"/>
              <w:left w:w="100" w:type="dxa"/>
              <w:right w:w="100" w:type="dxa"/>
            </w:tcMar>
          </w:tcPr>
          <w:p>
            <w:pPr>
              <w:spacing w:after="0"/>
            </w:pPr>
            <w:r>
              <w:rPr>
                <w:color w:val="4A5568"/>
                <w:sz w:val="18"/>
              </w:rPr>
              <w:t>Agentic Front Office &amp; Trust-by-Design</w:t>
            </w:r>
          </w:p>
        </w:tc>
        <w:tc>
          <w:tcPr>
            <w:tcW w:type="dxa" w:w="3120"/>
            <w:shd w:fill="F0F4F8"/>
            <w:tcMar>
              <w:top w:w="80" w:type="dxa"/>
              <w:bottom w:w="80" w:type="dxa"/>
              <w:left w:w="100" w:type="dxa"/>
              <w:right w:w="100" w:type="dxa"/>
            </w:tcMar>
          </w:tcPr>
          <w:p>
            <w:pPr>
              <w:spacing w:after="0"/>
            </w:pPr>
            <w:r>
              <w:rPr>
                <w:color w:val="4A5568"/>
                <w:sz w:val="18"/>
              </w:rPr>
              <w:t>Unify front-office silos (Marketing, Sales, Service) into Sense-Think-Do platforms.</w:t>
            </w:r>
          </w:p>
        </w:tc>
      </w:tr>
      <w:tr>
        <w:tc>
          <w:tcPr>
            <w:tcW w:type="dxa" w:w="3120"/>
            <w:shd w:fill="FFFFFF"/>
            <w:tcMar>
              <w:top w:w="80" w:type="dxa"/>
              <w:bottom w:w="80" w:type="dxa"/>
              <w:left w:w="100" w:type="dxa"/>
              <w:right w:w="100" w:type="dxa"/>
            </w:tcMar>
          </w:tcPr>
          <w:p>
            <w:pPr>
              <w:spacing w:after="0"/>
            </w:pPr>
            <w:r>
              <w:rPr>
                <w:b/>
                <w:color w:val="1B365D"/>
                <w:sz w:val="18"/>
              </w:rPr>
              <w:t>EY</w:t>
            </w:r>
          </w:p>
        </w:tc>
        <w:tc>
          <w:tcPr>
            <w:tcW w:type="dxa" w:w="3120"/>
            <w:shd w:fill="FFFFFF"/>
            <w:tcMar>
              <w:top w:w="80" w:type="dxa"/>
              <w:bottom w:w="80" w:type="dxa"/>
              <w:left w:w="100" w:type="dxa"/>
              <w:right w:w="100" w:type="dxa"/>
            </w:tcMar>
          </w:tcPr>
          <w:p>
            <w:pPr>
              <w:spacing w:after="0"/>
            </w:pPr>
            <w:r>
              <w:rPr>
                <w:color w:val="4A5568"/>
                <w:sz w:val="18"/>
              </w:rPr>
              <w:t>Enterprise Agentic Operating System</w:t>
            </w:r>
          </w:p>
        </w:tc>
        <w:tc>
          <w:tcPr>
            <w:tcW w:type="dxa" w:w="3120"/>
            <w:shd w:fill="FFFFFF"/>
            <w:tcMar>
              <w:top w:w="80" w:type="dxa"/>
              <w:bottom w:w="80" w:type="dxa"/>
              <w:left w:w="100" w:type="dxa"/>
              <w:right w:w="100" w:type="dxa"/>
            </w:tcMar>
          </w:tcPr>
          <w:p>
            <w:pPr>
              <w:spacing w:after="0"/>
            </w:pPr>
            <w:r>
              <w:rPr>
                <w:color w:val="4A5568"/>
                <w:sz w:val="18"/>
              </w:rPr>
              <w:t>Transform GCCs into intelligent hubs; eliminate fragmented shadow-AI.</w:t>
            </w:r>
          </w:p>
        </w:tc>
      </w:tr>
      <w:tr>
        <w:tc>
          <w:tcPr>
            <w:tcW w:type="dxa" w:w="3120"/>
            <w:shd w:fill="F0F4F8"/>
            <w:tcMar>
              <w:top w:w="80" w:type="dxa"/>
              <w:bottom w:w="80" w:type="dxa"/>
              <w:left w:w="100" w:type="dxa"/>
              <w:right w:w="100" w:type="dxa"/>
            </w:tcMar>
          </w:tcPr>
          <w:p>
            <w:pPr>
              <w:spacing w:after="0"/>
            </w:pPr>
            <w:r>
              <w:rPr>
                <w:b/>
                <w:color w:val="1B365D"/>
                <w:sz w:val="18"/>
              </w:rPr>
              <w:t>KPMG</w:t>
            </w:r>
          </w:p>
        </w:tc>
        <w:tc>
          <w:tcPr>
            <w:tcW w:type="dxa" w:w="3120"/>
            <w:shd w:fill="F0F4F8"/>
            <w:tcMar>
              <w:top w:w="80" w:type="dxa"/>
              <w:bottom w:w="80" w:type="dxa"/>
              <w:left w:w="100" w:type="dxa"/>
              <w:right w:w="100" w:type="dxa"/>
            </w:tcMar>
          </w:tcPr>
          <w:p>
            <w:pPr>
              <w:spacing w:after="0"/>
            </w:pPr>
            <w:r>
              <w:rPr>
                <w:color w:val="4A5568"/>
                <w:sz w:val="18"/>
              </w:rPr>
              <w:t>Reorganise or Fall Behind</w:t>
            </w:r>
          </w:p>
        </w:tc>
        <w:tc>
          <w:tcPr>
            <w:tcW w:type="dxa" w:w="3120"/>
            <w:shd w:fill="F0F4F8"/>
            <w:tcMar>
              <w:top w:w="80" w:type="dxa"/>
              <w:bottom w:w="80" w:type="dxa"/>
              <w:left w:w="100" w:type="dxa"/>
              <w:right w:w="100" w:type="dxa"/>
            </w:tcMar>
          </w:tcPr>
          <w:p>
            <w:pPr>
              <w:spacing w:after="0"/>
            </w:pPr>
            <w:r>
              <w:rPr>
                <w:color w:val="4A5568"/>
                <w:sz w:val="18"/>
              </w:rPr>
              <w:t>Shift from vertical functional optimization to horizontal enterprise workflow orchestration.</w:t>
            </w:r>
          </w:p>
        </w:tc>
      </w:tr>
      <w:tr>
        <w:tc>
          <w:tcPr>
            <w:tcW w:type="dxa" w:w="3120"/>
            <w:shd w:fill="FFFFFF"/>
            <w:tcMar>
              <w:top w:w="80" w:type="dxa"/>
              <w:bottom w:w="80" w:type="dxa"/>
              <w:left w:w="100" w:type="dxa"/>
              <w:right w:w="100" w:type="dxa"/>
            </w:tcMar>
          </w:tcPr>
          <w:p>
            <w:pPr>
              <w:spacing w:after="0"/>
            </w:pPr>
            <w:r>
              <w:rPr>
                <w:b/>
                <w:color w:val="1B365D"/>
                <w:sz w:val="18"/>
              </w:rPr>
              <w:t>Gartner</w:t>
            </w:r>
          </w:p>
        </w:tc>
        <w:tc>
          <w:tcPr>
            <w:tcW w:type="dxa" w:w="3120"/>
            <w:shd w:fill="FFFFFF"/>
            <w:tcMar>
              <w:top w:w="80" w:type="dxa"/>
              <w:bottom w:w="80" w:type="dxa"/>
              <w:left w:w="100" w:type="dxa"/>
              <w:right w:w="100" w:type="dxa"/>
            </w:tcMar>
          </w:tcPr>
          <w:p>
            <w:pPr>
              <w:spacing w:after="0"/>
            </w:pPr>
            <w:r>
              <w:rPr>
                <w:color w:val="4A5568"/>
                <w:sz w:val="18"/>
              </w:rPr>
              <w:t>Agentic Operating Model (AOM)</w:t>
            </w:r>
          </w:p>
        </w:tc>
        <w:tc>
          <w:tcPr>
            <w:tcW w:type="dxa" w:w="3120"/>
            <w:shd w:fill="FFFFFF"/>
            <w:tcMar>
              <w:top w:w="80" w:type="dxa"/>
              <w:bottom w:w="80" w:type="dxa"/>
              <w:left w:w="100" w:type="dxa"/>
              <w:right w:w="100" w:type="dxa"/>
            </w:tcMar>
          </w:tcPr>
          <w:p>
            <w:pPr>
              <w:spacing w:after="0"/>
            </w:pPr>
            <w:r>
              <w:rPr>
                <w:color w:val="4A5568"/>
                <w:sz w:val="18"/>
              </w:rPr>
              <w:t>Reshape middle management; restructure work into outcome-driven packages (29% premium).</w:t>
            </w:r>
          </w:p>
        </w:tc>
      </w:tr>
      <w:tr>
        <w:tc>
          <w:tcPr>
            <w:tcW w:type="dxa" w:w="3120"/>
            <w:shd w:fill="F0F4F8"/>
            <w:tcMar>
              <w:top w:w="80" w:type="dxa"/>
              <w:bottom w:w="80" w:type="dxa"/>
              <w:left w:w="100" w:type="dxa"/>
              <w:right w:w="100" w:type="dxa"/>
            </w:tcMar>
          </w:tcPr>
          <w:p>
            <w:pPr>
              <w:spacing w:after="0"/>
            </w:pPr>
            <w:r>
              <w:rPr>
                <w:b/>
                <w:color w:val="1B365D"/>
                <w:sz w:val="18"/>
              </w:rPr>
              <w:t>Accenture</w:t>
            </w:r>
          </w:p>
        </w:tc>
        <w:tc>
          <w:tcPr>
            <w:tcW w:type="dxa" w:w="3120"/>
            <w:shd w:fill="F0F4F8"/>
            <w:tcMar>
              <w:top w:w="80" w:type="dxa"/>
              <w:bottom w:w="80" w:type="dxa"/>
              <w:left w:w="100" w:type="dxa"/>
              <w:right w:w="100" w:type="dxa"/>
            </w:tcMar>
          </w:tcPr>
          <w:p>
            <w:pPr>
              <w:spacing w:after="0"/>
            </w:pPr>
            <w:r>
              <w:rPr>
                <w:color w:val="4A5568"/>
                <w:sz w:val="18"/>
              </w:rPr>
              <w:t>Total Enterprise Reinvention &amp; AI SDLC</w:t>
            </w:r>
          </w:p>
        </w:tc>
        <w:tc>
          <w:tcPr>
            <w:tcW w:type="dxa" w:w="3120"/>
            <w:shd w:fill="F0F4F8"/>
            <w:tcMar>
              <w:top w:w="80" w:type="dxa"/>
              <w:bottom w:w="80" w:type="dxa"/>
              <w:left w:w="100" w:type="dxa"/>
              <w:right w:w="100" w:type="dxa"/>
            </w:tcMar>
          </w:tcPr>
          <w:p>
            <w:pPr>
              <w:spacing w:after="0"/>
            </w:pPr>
            <w:r>
              <w:rPr>
                <w:color w:val="4A5568"/>
                <w:sz w:val="18"/>
              </w:rPr>
              <w:t>Dissolve business-tech silos; 12x acceleration on complex engineering conversions.</w:t>
            </w:r>
          </w:p>
        </w:tc>
      </w:tr>
      <w:tr>
        <w:tc>
          <w:tcPr>
            <w:tcW w:type="dxa" w:w="3120"/>
            <w:shd w:fill="FFFFFF"/>
            <w:tcMar>
              <w:top w:w="80" w:type="dxa"/>
              <w:bottom w:w="80" w:type="dxa"/>
              <w:left w:w="100" w:type="dxa"/>
              <w:right w:w="100" w:type="dxa"/>
            </w:tcMar>
          </w:tcPr>
          <w:p>
            <w:pPr>
              <w:spacing w:after="0"/>
            </w:pPr>
            <w:r>
              <w:rPr>
                <w:b/>
                <w:color w:val="1B365D"/>
                <w:sz w:val="18"/>
              </w:rPr>
              <w:t>IBM</w:t>
            </w:r>
          </w:p>
        </w:tc>
        <w:tc>
          <w:tcPr>
            <w:tcW w:type="dxa" w:w="3120"/>
            <w:shd w:fill="FFFFFF"/>
            <w:tcMar>
              <w:top w:w="80" w:type="dxa"/>
              <w:bottom w:w="80" w:type="dxa"/>
              <w:left w:w="100" w:type="dxa"/>
              <w:right w:w="100" w:type="dxa"/>
            </w:tcMar>
          </w:tcPr>
          <w:p>
            <w:pPr>
              <w:spacing w:after="0"/>
            </w:pPr>
            <w:r>
              <w:rPr>
                <w:color w:val="4A5568"/>
                <w:sz w:val="18"/>
              </w:rPr>
              <w:t>AI-Driven Development (AI-DLC)</w:t>
            </w:r>
          </w:p>
        </w:tc>
        <w:tc>
          <w:tcPr>
            <w:tcW w:type="dxa" w:w="3120"/>
            <w:shd w:fill="FFFFFF"/>
            <w:tcMar>
              <w:top w:w="80" w:type="dxa"/>
              <w:bottom w:w="80" w:type="dxa"/>
              <w:left w:w="100" w:type="dxa"/>
              <w:right w:w="100" w:type="dxa"/>
            </w:tcMar>
          </w:tcPr>
          <w:p>
            <w:pPr>
              <w:spacing w:after="0"/>
            </w:pPr>
            <w:r>
              <w:rPr>
                <w:color w:val="4A5568"/>
                <w:sz w:val="18"/>
              </w:rPr>
              <w:t>Resolve 'AI-readiness debt' across process, application, code, data, and platform.</w:t>
            </w:r>
          </w:p>
        </w:tc>
      </w:tr>
      <w:tr>
        <w:tc>
          <w:tcPr>
            <w:tcW w:type="dxa" w:w="3120"/>
            <w:shd w:fill="F0F4F8"/>
            <w:tcMar>
              <w:top w:w="80" w:type="dxa"/>
              <w:bottom w:w="80" w:type="dxa"/>
              <w:left w:w="100" w:type="dxa"/>
              <w:right w:w="100" w:type="dxa"/>
            </w:tcMar>
          </w:tcPr>
          <w:p>
            <w:pPr>
              <w:spacing w:after="0"/>
            </w:pPr>
            <w:r>
              <w:rPr>
                <w:b/>
                <w:color w:val="1B365D"/>
                <w:sz w:val="18"/>
              </w:rPr>
              <w:t>WEF / Kearney</w:t>
            </w:r>
          </w:p>
        </w:tc>
        <w:tc>
          <w:tcPr>
            <w:tcW w:type="dxa" w:w="3120"/>
            <w:shd w:fill="F0F4F8"/>
            <w:tcMar>
              <w:top w:w="80" w:type="dxa"/>
              <w:bottom w:w="80" w:type="dxa"/>
              <w:left w:w="100" w:type="dxa"/>
              <w:right w:w="100" w:type="dxa"/>
            </w:tcMar>
          </w:tcPr>
          <w:p>
            <w:pPr>
              <w:spacing w:after="0"/>
            </w:pPr>
            <w:r>
              <w:rPr>
                <w:color w:val="4A5568"/>
                <w:sz w:val="18"/>
              </w:rPr>
              <w:t>The AI-First Operating System</w:t>
            </w:r>
          </w:p>
        </w:tc>
        <w:tc>
          <w:tcPr>
            <w:tcW w:type="dxa" w:w="3120"/>
            <w:shd w:fill="F0F4F8"/>
            <w:tcMar>
              <w:top w:w="80" w:type="dxa"/>
              <w:bottom w:w="80" w:type="dxa"/>
              <w:left w:w="100" w:type="dxa"/>
              <w:right w:w="100" w:type="dxa"/>
            </w:tcMar>
          </w:tcPr>
          <w:p>
            <w:pPr>
              <w:spacing w:after="0"/>
            </w:pPr>
            <w:r>
              <w:rPr>
                <w:color w:val="4A5568"/>
                <w:sz w:val="18"/>
              </w:rPr>
              <w:t>Embed intelligence engines directly into business models and capital allocation.</w:t>
            </w:r>
          </w:p>
        </w:tc>
      </w:tr>
    </w:tbl>
    <w:p>
      <w:pPr>
        <w:spacing w:after="200"/>
      </w:pPr>
    </w:p>
    <w:p>
      <w:pPr>
        <w:keepNext/>
        <w:spacing w:before="320" w:after="120"/>
      </w:pPr>
      <w:r>
        <w:rPr>
          <w:b/>
          <w:color w:val="1B365D"/>
          <w:sz w:val="28"/>
        </w:rPr>
        <w:t>3. The 6-Layer Target Operating Model (TOM) Architecture</w:t>
      </w:r>
    </w:p>
    <w:p>
      <w:r>
        <w:t>To transform technical capabilities into business value, the enterprise must align across six integrated operational layers:</w:t>
      </w:r>
    </w:p>
    <w:p>
      <w:pPr>
        <w:spacing w:after="80"/>
        <w:ind w:left="360"/>
      </w:pPr>
      <w:r>
        <w:rPr>
          <w:b/>
          <w:color w:val="1B365D"/>
        </w:rPr>
        <w:t xml:space="preserve">• Layer 1: Strategic Intent &amp; Economic Outcomes: </w:t>
      </w:r>
      <w:r>
        <w:rPr>
          <w:color w:val="4A5568"/>
        </w:rPr>
        <w:t>Anchor redesign to P&amp;L drivers (EBITDA margin, cycle-time compression). Prioritize 1–3 core business domains rather than spreading pilots thin.</w:t>
      </w:r>
    </w:p>
    <w:p>
      <w:pPr>
        <w:spacing w:after="80"/>
        <w:ind w:left="360"/>
      </w:pPr>
      <w:r>
        <w:rPr>
          <w:b/>
          <w:color w:val="1B365D"/>
        </w:rPr>
        <w:t xml:space="preserve">• Layer 2: Value-Stream &amp; Workflow Orchestration: </w:t>
      </w:r>
      <w:r>
        <w:rPr>
          <w:color w:val="4A5568"/>
        </w:rPr>
        <w:t>Deconstruct linear task chains into asynchronous, event-driven task graphs. Accumulate shared metadata to eliminate duplicate data entry.</w:t>
      </w:r>
    </w:p>
    <w:p>
      <w:pPr>
        <w:spacing w:after="80"/>
        <w:ind w:left="360"/>
      </w:pPr>
      <w:r>
        <w:rPr>
          <w:b/>
          <w:color w:val="1B365D"/>
        </w:rPr>
        <w:t xml:space="preserve">• Layer 3: Human–AI Allocation &amp; Decision Taxonomy: </w:t>
      </w:r>
      <w:r>
        <w:rPr>
          <w:color w:val="4A5568"/>
        </w:rPr>
        <w:t>Redefine frontline roles as Agent Supervisors. Establish bounded autonomy for routine tasks and explicit human escalation rules.</w:t>
      </w:r>
    </w:p>
    <w:p>
      <w:pPr>
        <w:spacing w:after="80"/>
        <w:ind w:left="360"/>
      </w:pPr>
      <w:r>
        <w:rPr>
          <w:b/>
          <w:color w:val="1B365D"/>
        </w:rPr>
        <w:t xml:space="preserve">• Layer 4: Data, Tool &amp; Integration Backbone: </w:t>
      </w:r>
      <w:r>
        <w:rPr>
          <w:color w:val="4A5568"/>
        </w:rPr>
        <w:t>Implement standardized APIs across Systems of Record (SoR) and adopt Model Context Protocol (MCP) for tool discovery.</w:t>
      </w:r>
    </w:p>
    <w:p>
      <w:pPr>
        <w:spacing w:after="80"/>
        <w:ind w:left="360"/>
      </w:pPr>
      <w:r>
        <w:rPr>
          <w:b/>
          <w:color w:val="1B365D"/>
        </w:rPr>
        <w:t xml:space="preserve">• Layer 5: Embedded Governance, Policy &amp; Risk Controls: </w:t>
      </w:r>
      <w:r>
        <w:rPr>
          <w:color w:val="4A5568"/>
        </w:rPr>
        <w:t>Embed Policy-as-Code directly into execution loops. Run independent Watchdog evaluator models to prevent hallucinations and policy breaches.</w:t>
      </w:r>
    </w:p>
    <w:p>
      <w:pPr>
        <w:spacing w:after="80"/>
        <w:ind w:left="360"/>
      </w:pPr>
      <w:r>
        <w:rPr>
          <w:b/>
          <w:color w:val="1B365D"/>
        </w:rPr>
        <w:t xml:space="preserve">• Layer 6: Operational Telemetry &amp; Continuous Ops: </w:t>
      </w:r>
      <w:r>
        <w:rPr>
          <w:color w:val="4A5568"/>
        </w:rPr>
        <w:t>Instrument real-time monitoring for unit economics, token consumption, Human Override Frequency (HOF), and latency.</w:t>
      </w:r>
    </w:p>
    <w:p>
      <w:pPr>
        <w:spacing w:after="200"/>
      </w:pPr>
    </w:p>
    <w:p>
      <w:pPr>
        <w:keepNext/>
        <w:spacing w:before="320" w:after="120"/>
      </w:pPr>
      <w:r>
        <w:rPr>
          <w:b/>
          <w:color w:val="1B365D"/>
          <w:sz w:val="28"/>
        </w:rPr>
        <w:t>4. Decision Architecture &amp; Human–AI Allocation Taxonomy</w:t>
      </w:r>
    </w:p>
    <w:p>
      <w:r>
        <w:t>Unclear decision rights generate organizational paralysis. Workflows must be governed through a rigorous 4-Tier Decision Matrix:</w:t>
      </w:r>
    </w:p>
    <w:tbl>
      <w:tblPr>
        <w:tblW w:type="auto" w:w="0"/>
        <w:jc w:val="center"/>
        <w:tblLayout w:type="fixed"/>
        <w:tblLook w:firstColumn="1" w:firstRow="1" w:lastColumn="0" w:lastRow="0" w:noHBand="0" w:noVBand="1" w:val="04A0"/>
      </w:tblPr>
      <w:tblGrid>
        <w:gridCol w:w="2160"/>
        <w:gridCol w:w="2016"/>
        <w:gridCol w:w="2592"/>
        <w:gridCol w:w="2592"/>
      </w:tblGrid>
      <w:tr>
        <w:tc>
          <w:tcPr>
            <w:tcW w:type="dxa" w:w="2340"/>
            <w:shd w:fill="1B365D"/>
            <w:tcMar>
              <w:top w:w="100" w:type="dxa"/>
              <w:bottom w:w="100" w:type="dxa"/>
              <w:left w:w="100" w:type="dxa"/>
              <w:right w:w="100" w:type="dxa"/>
            </w:tcMar>
          </w:tcPr>
          <w:p>
            <w:pPr>
              <w:spacing w:after="0"/>
            </w:pPr>
            <w:r>
              <w:rPr>
                <w:b/>
                <w:color w:val="FFFFFF"/>
                <w:sz w:val="19"/>
              </w:rPr>
              <w:t>Operational Tier</w:t>
            </w:r>
          </w:p>
        </w:tc>
        <w:tc>
          <w:tcPr>
            <w:tcW w:type="dxa" w:w="2340"/>
            <w:shd w:fill="1B365D"/>
            <w:tcMar>
              <w:top w:w="100" w:type="dxa"/>
              <w:bottom w:w="100" w:type="dxa"/>
              <w:left w:w="100" w:type="dxa"/>
              <w:right w:w="100" w:type="dxa"/>
            </w:tcMar>
          </w:tcPr>
          <w:p>
            <w:pPr>
              <w:spacing w:after="0"/>
            </w:pPr>
            <w:r>
              <w:rPr>
                <w:b/>
                <w:color w:val="FFFFFF"/>
                <w:sz w:val="19"/>
              </w:rPr>
              <w:t>AI Responsibility</w:t>
            </w:r>
          </w:p>
        </w:tc>
        <w:tc>
          <w:tcPr>
            <w:tcW w:type="dxa" w:w="2340"/>
            <w:shd w:fill="1B365D"/>
            <w:tcMar>
              <w:top w:w="100" w:type="dxa"/>
              <w:bottom w:w="100" w:type="dxa"/>
              <w:left w:w="100" w:type="dxa"/>
              <w:right w:w="100" w:type="dxa"/>
            </w:tcMar>
          </w:tcPr>
          <w:p>
            <w:pPr>
              <w:spacing w:after="0"/>
            </w:pPr>
            <w:r>
              <w:rPr>
                <w:b/>
                <w:color w:val="FFFFFF"/>
                <w:sz w:val="19"/>
              </w:rPr>
              <w:t>Human Responsibility</w:t>
            </w:r>
          </w:p>
        </w:tc>
        <w:tc>
          <w:tcPr>
            <w:tcW w:type="dxa" w:w="2340"/>
            <w:shd w:fill="1B365D"/>
            <w:tcMar>
              <w:top w:w="100" w:type="dxa"/>
              <w:bottom w:w="100" w:type="dxa"/>
              <w:left w:w="100" w:type="dxa"/>
              <w:right w:w="100" w:type="dxa"/>
            </w:tcMar>
          </w:tcPr>
          <w:p>
            <w:pPr>
              <w:spacing w:after="0"/>
            </w:pPr>
            <w:r>
              <w:rPr>
                <w:b/>
                <w:color w:val="FFFFFF"/>
                <w:sz w:val="19"/>
              </w:rPr>
              <w:t>Required Guardrail</w:t>
            </w:r>
          </w:p>
        </w:tc>
      </w:tr>
      <w:tr>
        <w:tc>
          <w:tcPr>
            <w:tcW w:type="dxa" w:w="2340"/>
            <w:shd w:fill="F0F4F8"/>
            <w:tcMar>
              <w:top w:w="80" w:type="dxa"/>
              <w:bottom w:w="80" w:type="dxa"/>
              <w:left w:w="100" w:type="dxa"/>
              <w:right w:w="100" w:type="dxa"/>
            </w:tcMar>
          </w:tcPr>
          <w:p>
            <w:pPr>
              <w:spacing w:after="0"/>
            </w:pPr>
            <w:r>
              <w:rPr>
                <w:b/>
                <w:color w:val="1B365D"/>
                <w:sz w:val="18"/>
              </w:rPr>
              <w:t>Tier I: Full Autonomy (Low Risk, High Volume)</w:t>
            </w:r>
          </w:p>
        </w:tc>
        <w:tc>
          <w:tcPr>
            <w:tcW w:type="dxa" w:w="2340"/>
            <w:shd w:fill="F0F4F8"/>
            <w:tcMar>
              <w:top w:w="80" w:type="dxa"/>
              <w:bottom w:w="80" w:type="dxa"/>
              <w:left w:w="100" w:type="dxa"/>
              <w:right w:w="100" w:type="dxa"/>
            </w:tcMar>
          </w:tcPr>
          <w:p>
            <w:pPr>
              <w:spacing w:after="0"/>
            </w:pPr>
            <w:r>
              <w:rPr>
                <w:color w:val="4A5568"/>
                <w:sz w:val="18"/>
              </w:rPr>
              <w:t>Autonomous sensing, deciding &amp; execution.</w:t>
            </w:r>
          </w:p>
        </w:tc>
        <w:tc>
          <w:tcPr>
            <w:tcW w:type="dxa" w:w="2340"/>
            <w:shd w:fill="F0F4F8"/>
            <w:tcMar>
              <w:top w:w="80" w:type="dxa"/>
              <w:bottom w:w="80" w:type="dxa"/>
              <w:left w:w="100" w:type="dxa"/>
              <w:right w:w="100" w:type="dxa"/>
            </w:tcMar>
          </w:tcPr>
          <w:p>
            <w:pPr>
              <w:spacing w:after="0"/>
            </w:pPr>
            <w:r>
              <w:rPr>
                <w:color w:val="4A5568"/>
                <w:sz w:val="18"/>
              </w:rPr>
              <w:t>Passive telemetry review; audits random 1% sample.</w:t>
            </w:r>
          </w:p>
        </w:tc>
        <w:tc>
          <w:tcPr>
            <w:tcW w:type="dxa" w:w="2340"/>
            <w:shd w:fill="F0F4F8"/>
            <w:tcMar>
              <w:top w:w="80" w:type="dxa"/>
              <w:bottom w:w="80" w:type="dxa"/>
              <w:left w:w="100" w:type="dxa"/>
              <w:right w:w="100" w:type="dxa"/>
            </w:tcMar>
          </w:tcPr>
          <w:p>
            <w:pPr>
              <w:spacing w:after="0"/>
            </w:pPr>
            <w:r>
              <w:rPr>
                <w:color w:val="4A5568"/>
                <w:sz w:val="18"/>
              </w:rPr>
              <w:t>Automated JSON schema validation &amp; instant rollback.</w:t>
            </w:r>
          </w:p>
        </w:tc>
      </w:tr>
      <w:tr>
        <w:tc>
          <w:tcPr>
            <w:tcW w:type="dxa" w:w="2340"/>
            <w:shd w:fill="FFFFFF"/>
            <w:tcMar>
              <w:top w:w="80" w:type="dxa"/>
              <w:bottom w:w="80" w:type="dxa"/>
              <w:left w:w="100" w:type="dxa"/>
              <w:right w:w="100" w:type="dxa"/>
            </w:tcMar>
          </w:tcPr>
          <w:p>
            <w:pPr>
              <w:spacing w:after="0"/>
            </w:pPr>
            <w:r>
              <w:rPr>
                <w:b/>
                <w:color w:val="1B365D"/>
                <w:sz w:val="18"/>
              </w:rPr>
              <w:t>Tier II: Bounded Autonomy (Medium Impact)</w:t>
            </w:r>
          </w:p>
        </w:tc>
        <w:tc>
          <w:tcPr>
            <w:tcW w:type="dxa" w:w="2340"/>
            <w:shd w:fill="FFFFFF"/>
            <w:tcMar>
              <w:top w:w="80" w:type="dxa"/>
              <w:bottom w:w="80" w:type="dxa"/>
              <w:left w:w="100" w:type="dxa"/>
              <w:right w:w="100" w:type="dxa"/>
            </w:tcMar>
          </w:tcPr>
          <w:p>
            <w:pPr>
              <w:spacing w:after="0"/>
            </w:pPr>
            <w:r>
              <w:rPr>
                <w:color w:val="4A5568"/>
                <w:sz w:val="18"/>
              </w:rPr>
              <w:t>Executes within strict pre-approved ranges.</w:t>
            </w:r>
          </w:p>
        </w:tc>
        <w:tc>
          <w:tcPr>
            <w:tcW w:type="dxa" w:w="2340"/>
            <w:shd w:fill="FFFFFF"/>
            <w:tcMar>
              <w:top w:w="80" w:type="dxa"/>
              <w:bottom w:w="80" w:type="dxa"/>
              <w:left w:w="100" w:type="dxa"/>
              <w:right w:w="100" w:type="dxa"/>
            </w:tcMar>
          </w:tcPr>
          <w:p>
            <w:pPr>
              <w:spacing w:after="0"/>
            </w:pPr>
            <w:r>
              <w:rPr>
                <w:color w:val="4A5568"/>
                <w:sz w:val="18"/>
              </w:rPr>
              <w:t>Escalation point when decision breaches boundary.</w:t>
            </w:r>
          </w:p>
        </w:tc>
        <w:tc>
          <w:tcPr>
            <w:tcW w:type="dxa" w:w="2340"/>
            <w:shd w:fill="FFFFFF"/>
            <w:tcMar>
              <w:top w:w="80" w:type="dxa"/>
              <w:bottom w:w="80" w:type="dxa"/>
              <w:left w:w="100" w:type="dxa"/>
              <w:right w:w="100" w:type="dxa"/>
            </w:tcMar>
          </w:tcPr>
          <w:p>
            <w:pPr>
              <w:spacing w:after="0"/>
            </w:pPr>
            <w:r>
              <w:rPr>
                <w:color w:val="4A5568"/>
                <w:sz w:val="18"/>
              </w:rPr>
              <w:t>Hard budget caps and transaction value thresholds.</w:t>
            </w:r>
          </w:p>
        </w:tc>
      </w:tr>
      <w:tr>
        <w:tc>
          <w:tcPr>
            <w:tcW w:type="dxa" w:w="2340"/>
            <w:shd w:fill="F0F4F8"/>
            <w:tcMar>
              <w:top w:w="80" w:type="dxa"/>
              <w:bottom w:w="80" w:type="dxa"/>
              <w:left w:w="100" w:type="dxa"/>
              <w:right w:w="100" w:type="dxa"/>
            </w:tcMar>
          </w:tcPr>
          <w:p>
            <w:pPr>
              <w:spacing w:after="0"/>
            </w:pPr>
            <w:r>
              <w:rPr>
                <w:b/>
                <w:color w:val="1B365D"/>
                <w:sz w:val="18"/>
              </w:rPr>
              <w:t>Tier III: Human-in-the-Loop (High Stakes)</w:t>
            </w:r>
          </w:p>
        </w:tc>
        <w:tc>
          <w:tcPr>
            <w:tcW w:type="dxa" w:w="2340"/>
            <w:shd w:fill="F0F4F8"/>
            <w:tcMar>
              <w:top w:w="80" w:type="dxa"/>
              <w:bottom w:w="80" w:type="dxa"/>
              <w:left w:w="100" w:type="dxa"/>
              <w:right w:w="100" w:type="dxa"/>
            </w:tcMar>
          </w:tcPr>
          <w:p>
            <w:pPr>
              <w:spacing w:after="0"/>
            </w:pPr>
            <w:r>
              <w:rPr>
                <w:color w:val="4A5568"/>
                <w:sz w:val="18"/>
              </w:rPr>
              <w:t>Synthesizes evidence &amp; recommends options.</w:t>
            </w:r>
          </w:p>
        </w:tc>
        <w:tc>
          <w:tcPr>
            <w:tcW w:type="dxa" w:w="2340"/>
            <w:shd w:fill="F0F4F8"/>
            <w:tcMar>
              <w:top w:w="80" w:type="dxa"/>
              <w:bottom w:w="80" w:type="dxa"/>
              <w:left w:w="100" w:type="dxa"/>
              <w:right w:w="100" w:type="dxa"/>
            </w:tcMar>
          </w:tcPr>
          <w:p>
            <w:pPr>
              <w:spacing w:after="0"/>
            </w:pPr>
            <w:r>
              <w:rPr>
                <w:color w:val="4A5568"/>
                <w:sz w:val="18"/>
              </w:rPr>
              <w:t>Mandatory affirmative approval / sign-off.</w:t>
            </w:r>
          </w:p>
        </w:tc>
        <w:tc>
          <w:tcPr>
            <w:tcW w:type="dxa" w:w="2340"/>
            <w:shd w:fill="F0F4F8"/>
            <w:tcMar>
              <w:top w:w="80" w:type="dxa"/>
              <w:bottom w:w="80" w:type="dxa"/>
              <w:left w:w="100" w:type="dxa"/>
              <w:right w:w="100" w:type="dxa"/>
            </w:tcMar>
          </w:tcPr>
          <w:p>
            <w:pPr>
              <w:spacing w:after="0"/>
            </w:pPr>
            <w:r>
              <w:rPr>
                <w:color w:val="4A5568"/>
                <w:sz w:val="18"/>
              </w:rPr>
              <w:t>Complete chain-of-thought trace &amp; immutable audit log.</w:t>
            </w:r>
          </w:p>
        </w:tc>
      </w:tr>
      <w:tr>
        <w:tc>
          <w:tcPr>
            <w:tcW w:type="dxa" w:w="2340"/>
            <w:shd w:fill="FFFFFF"/>
            <w:tcMar>
              <w:top w:w="80" w:type="dxa"/>
              <w:bottom w:w="80" w:type="dxa"/>
              <w:left w:w="100" w:type="dxa"/>
              <w:right w:w="100" w:type="dxa"/>
            </w:tcMar>
          </w:tcPr>
          <w:p>
            <w:pPr>
              <w:spacing w:after="0"/>
            </w:pPr>
            <w:r>
              <w:rPr>
                <w:b/>
                <w:color w:val="1B365D"/>
                <w:sz w:val="18"/>
              </w:rPr>
              <w:t>Tier IV: Human-Exclusive (Strategic/Relational)</w:t>
            </w:r>
          </w:p>
        </w:tc>
        <w:tc>
          <w:tcPr>
            <w:tcW w:type="dxa" w:w="2340"/>
            <w:shd w:fill="FFFFFF"/>
            <w:tcMar>
              <w:top w:w="80" w:type="dxa"/>
              <w:bottom w:w="80" w:type="dxa"/>
              <w:left w:w="100" w:type="dxa"/>
              <w:right w:w="100" w:type="dxa"/>
            </w:tcMar>
          </w:tcPr>
          <w:p>
            <w:pPr>
              <w:spacing w:after="0"/>
            </w:pPr>
            <w:r>
              <w:rPr>
                <w:color w:val="4A5568"/>
                <w:sz w:val="18"/>
              </w:rPr>
              <w:t>Passive background retrieval &amp; preparation.</w:t>
            </w:r>
          </w:p>
        </w:tc>
        <w:tc>
          <w:tcPr>
            <w:tcW w:type="dxa" w:w="2340"/>
            <w:shd w:fill="FFFFFF"/>
            <w:tcMar>
              <w:top w:w="80" w:type="dxa"/>
              <w:bottom w:w="80" w:type="dxa"/>
              <w:left w:w="100" w:type="dxa"/>
              <w:right w:w="100" w:type="dxa"/>
            </w:tcMar>
          </w:tcPr>
          <w:p>
            <w:pPr>
              <w:spacing w:after="0"/>
            </w:pPr>
            <w:r>
              <w:rPr>
                <w:color w:val="4A5568"/>
                <w:sz w:val="18"/>
              </w:rPr>
              <w:t>Full ownership, negotiation &amp; relationship lead.</w:t>
            </w:r>
          </w:p>
        </w:tc>
        <w:tc>
          <w:tcPr>
            <w:tcW w:type="dxa" w:w="2340"/>
            <w:shd w:fill="FFFFFF"/>
            <w:tcMar>
              <w:top w:w="80" w:type="dxa"/>
              <w:bottom w:w="80" w:type="dxa"/>
              <w:left w:w="100" w:type="dxa"/>
              <w:right w:w="100" w:type="dxa"/>
            </w:tcMar>
          </w:tcPr>
          <w:p>
            <w:pPr>
              <w:spacing w:after="0"/>
            </w:pPr>
            <w:r>
              <w:rPr>
                <w:color w:val="4A5568"/>
                <w:sz w:val="18"/>
              </w:rPr>
              <w:t>Zero autonomous communication or execution rights.</w:t>
            </w:r>
          </w:p>
        </w:tc>
      </w:tr>
    </w:tbl>
    <w:p>
      <w:pPr>
        <w:spacing w:after="200"/>
      </w:pPr>
    </w:p>
    <w:p>
      <w:pPr>
        <w:keepNext/>
        <w:spacing w:before="320" w:after="120"/>
      </w:pPr>
      <w:r>
        <w:rPr>
          <w:b/>
          <w:color w:val="1B365D"/>
          <w:sz w:val="28"/>
        </w:rPr>
        <w:t>5. Financial Modeling &amp; Enterprise P&amp;L Impact</w:t>
      </w:r>
    </w:p>
    <w:p>
      <w:r>
        <w:t>Below is an empirical model demonstrating the economic transformation of a mid-to-large enterprise processing 120,000 complex operational transactions annually (e.g., commercial insurance claims, loan underwriting, B2B procurement):</w:t>
      </w:r>
    </w:p>
    <w:tbl>
      <w:tblPr>
        <w:tblW w:type="auto" w:w="0"/>
        <w:jc w:val="center"/>
        <w:tblLayout w:type="fixed"/>
        <w:tblLook w:firstColumn="1" w:firstRow="1" w:lastColumn="0" w:lastRow="0" w:noHBand="0" w:noVBand="1" w:val="04A0"/>
      </w:tblPr>
      <w:tblGrid>
        <w:gridCol w:w="3168"/>
        <w:gridCol w:w="1872"/>
        <w:gridCol w:w="1872"/>
        <w:gridCol w:w="2448"/>
      </w:tblGrid>
      <w:tr>
        <w:tc>
          <w:tcPr>
            <w:tcW w:type="dxa" w:w="2340"/>
            <w:shd w:fill="1B365D"/>
            <w:tcMar>
              <w:top w:w="100" w:type="dxa"/>
              <w:bottom w:w="100" w:type="dxa"/>
              <w:left w:w="100" w:type="dxa"/>
              <w:right w:w="100" w:type="dxa"/>
            </w:tcMar>
          </w:tcPr>
          <w:p>
            <w:pPr>
              <w:spacing w:after="0"/>
            </w:pPr>
            <w:r>
              <w:rPr>
                <w:b/>
                <w:color w:val="FFFFFF"/>
                <w:sz w:val="19"/>
              </w:rPr>
              <w:t>Income Statement / Operational Line</w:t>
            </w:r>
          </w:p>
        </w:tc>
        <w:tc>
          <w:tcPr>
            <w:tcW w:type="dxa" w:w="2340"/>
            <w:shd w:fill="1B365D"/>
            <w:tcMar>
              <w:top w:w="100" w:type="dxa"/>
              <w:bottom w:w="100" w:type="dxa"/>
              <w:left w:w="100" w:type="dxa"/>
              <w:right w:w="100" w:type="dxa"/>
            </w:tcMar>
          </w:tcPr>
          <w:p>
            <w:pPr>
              <w:spacing w:after="0"/>
            </w:pPr>
            <w:r>
              <w:rPr>
                <w:b/>
                <w:color w:val="FFFFFF"/>
                <w:sz w:val="19"/>
              </w:rPr>
              <w:t>Baseline State</w:t>
            </w:r>
          </w:p>
        </w:tc>
        <w:tc>
          <w:tcPr>
            <w:tcW w:type="dxa" w:w="2340"/>
            <w:shd w:fill="1B365D"/>
            <w:tcMar>
              <w:top w:w="100" w:type="dxa"/>
              <w:bottom w:w="100" w:type="dxa"/>
              <w:left w:w="100" w:type="dxa"/>
              <w:right w:w="100" w:type="dxa"/>
            </w:tcMar>
          </w:tcPr>
          <w:p>
            <w:pPr>
              <w:spacing w:after="0"/>
            </w:pPr>
            <w:r>
              <w:rPr>
                <w:b/>
                <w:color w:val="FFFFFF"/>
                <w:sz w:val="19"/>
              </w:rPr>
              <w:t>Target Model</w:t>
            </w:r>
          </w:p>
        </w:tc>
        <w:tc>
          <w:tcPr>
            <w:tcW w:type="dxa" w:w="2340"/>
            <w:shd w:fill="1B365D"/>
            <w:tcMar>
              <w:top w:w="100" w:type="dxa"/>
              <w:bottom w:w="100" w:type="dxa"/>
              <w:left w:w="100" w:type="dxa"/>
              <w:right w:w="100" w:type="dxa"/>
            </w:tcMar>
          </w:tcPr>
          <w:p>
            <w:pPr>
              <w:spacing w:after="0"/>
            </w:pPr>
            <w:r>
              <w:rPr>
                <w:b/>
                <w:color w:val="FFFFFF"/>
                <w:sz w:val="19"/>
              </w:rPr>
              <w:t>Variance / Impact</w:t>
            </w:r>
          </w:p>
        </w:tc>
      </w:tr>
      <w:tr>
        <w:tc>
          <w:tcPr>
            <w:tcW w:type="dxa" w:w="2340"/>
            <w:shd w:fill="F0F4F8"/>
            <w:tcMar>
              <w:top w:w="80" w:type="dxa"/>
              <w:bottom w:w="80" w:type="dxa"/>
              <w:left w:w="100" w:type="dxa"/>
              <w:right w:w="100" w:type="dxa"/>
            </w:tcMar>
          </w:tcPr>
          <w:p>
            <w:pPr>
              <w:spacing w:after="0"/>
            </w:pPr>
            <w:r>
              <w:rPr>
                <w:b/>
                <w:color w:val="1B365D"/>
                <w:sz w:val="18"/>
              </w:rPr>
              <w:t>Gross Revenue</w:t>
            </w:r>
          </w:p>
        </w:tc>
        <w:tc>
          <w:tcPr>
            <w:tcW w:type="dxa" w:w="2340"/>
            <w:shd w:fill="F0F4F8"/>
            <w:tcMar>
              <w:top w:w="80" w:type="dxa"/>
              <w:bottom w:w="80" w:type="dxa"/>
              <w:left w:w="100" w:type="dxa"/>
              <w:right w:w="100" w:type="dxa"/>
            </w:tcMar>
          </w:tcPr>
          <w:p>
            <w:pPr>
              <w:spacing w:after="0"/>
            </w:pPr>
            <w:r>
              <w:rPr>
                <w:color w:val="4A5568"/>
                <w:sz w:val="18"/>
              </w:rPr>
              <w:t>$25,000,000</w:t>
            </w:r>
          </w:p>
        </w:tc>
        <w:tc>
          <w:tcPr>
            <w:tcW w:type="dxa" w:w="2340"/>
            <w:shd w:fill="F0F4F8"/>
            <w:tcMar>
              <w:top w:w="80" w:type="dxa"/>
              <w:bottom w:w="80" w:type="dxa"/>
              <w:left w:w="100" w:type="dxa"/>
              <w:right w:w="100" w:type="dxa"/>
            </w:tcMar>
          </w:tcPr>
          <w:p>
            <w:pPr>
              <w:spacing w:after="0"/>
            </w:pPr>
            <w:r>
              <w:rPr>
                <w:color w:val="4A5568"/>
                <w:sz w:val="18"/>
              </w:rPr>
              <w:t>$26,483,594</w:t>
            </w:r>
          </w:p>
        </w:tc>
        <w:tc>
          <w:tcPr>
            <w:tcW w:type="dxa" w:w="2340"/>
            <w:shd w:fill="F0F4F8"/>
            <w:tcMar>
              <w:top w:w="80" w:type="dxa"/>
              <w:bottom w:w="80" w:type="dxa"/>
              <w:left w:w="100" w:type="dxa"/>
              <w:right w:w="100" w:type="dxa"/>
            </w:tcMar>
          </w:tcPr>
          <w:p>
            <w:pPr>
              <w:spacing w:after="0"/>
            </w:pPr>
            <w:r>
              <w:rPr>
                <w:b/>
                <w:color w:val="1B365D"/>
                <w:sz w:val="18"/>
              </w:rPr>
              <w:t>+$1,483,594 (Speed Uplift)</w:t>
            </w:r>
          </w:p>
        </w:tc>
      </w:tr>
      <w:tr>
        <w:tc>
          <w:tcPr>
            <w:tcW w:type="dxa" w:w="2340"/>
            <w:shd w:fill="FFFFFF"/>
            <w:tcMar>
              <w:top w:w="80" w:type="dxa"/>
              <w:bottom w:w="80" w:type="dxa"/>
              <w:left w:w="100" w:type="dxa"/>
              <w:right w:w="100" w:type="dxa"/>
            </w:tcMar>
          </w:tcPr>
          <w:p>
            <w:pPr>
              <w:spacing w:after="0"/>
            </w:pPr>
            <w:r>
              <w:rPr>
                <w:b/>
                <w:color w:val="1B365D"/>
                <w:sz w:val="18"/>
              </w:rPr>
              <w:t>Operational Direct Labor (COGS)</w:t>
            </w:r>
          </w:p>
        </w:tc>
        <w:tc>
          <w:tcPr>
            <w:tcW w:type="dxa" w:w="2340"/>
            <w:shd w:fill="FFFFFF"/>
            <w:tcMar>
              <w:top w:w="80" w:type="dxa"/>
              <w:bottom w:w="80" w:type="dxa"/>
              <w:left w:w="100" w:type="dxa"/>
              <w:right w:w="100" w:type="dxa"/>
            </w:tcMar>
          </w:tcPr>
          <w:p>
            <w:pPr>
              <w:spacing w:after="0"/>
            </w:pPr>
            <w:r>
              <w:rPr>
                <w:color w:val="4A5568"/>
                <w:sz w:val="18"/>
              </w:rPr>
              <w:t>$8,100,000</w:t>
            </w:r>
          </w:p>
        </w:tc>
        <w:tc>
          <w:tcPr>
            <w:tcW w:type="dxa" w:w="2340"/>
            <w:shd w:fill="FFFFFF"/>
            <w:tcMar>
              <w:top w:w="80" w:type="dxa"/>
              <w:bottom w:w="80" w:type="dxa"/>
              <w:left w:w="100" w:type="dxa"/>
              <w:right w:w="100" w:type="dxa"/>
            </w:tcMar>
          </w:tcPr>
          <w:p>
            <w:pPr>
              <w:spacing w:after="0"/>
            </w:pPr>
            <w:r>
              <w:rPr>
                <w:color w:val="4A5568"/>
                <w:sz w:val="18"/>
              </w:rPr>
              <w:t>$1,420,200</w:t>
            </w:r>
          </w:p>
        </w:tc>
        <w:tc>
          <w:tcPr>
            <w:tcW w:type="dxa" w:w="2340"/>
            <w:shd w:fill="FFFFFF"/>
            <w:tcMar>
              <w:top w:w="80" w:type="dxa"/>
              <w:bottom w:w="80" w:type="dxa"/>
              <w:left w:w="100" w:type="dxa"/>
              <w:right w:w="100" w:type="dxa"/>
            </w:tcMar>
          </w:tcPr>
          <w:p>
            <w:pPr>
              <w:spacing w:after="0"/>
            </w:pPr>
            <w:r>
              <w:rPr>
                <w:b/>
                <w:color w:val="1B365D"/>
                <w:sz w:val="18"/>
              </w:rPr>
              <w:t>-$6,679,800 (-82.5%)</w:t>
            </w:r>
          </w:p>
        </w:tc>
      </w:tr>
      <w:tr>
        <w:tc>
          <w:tcPr>
            <w:tcW w:type="dxa" w:w="2340"/>
            <w:shd w:fill="F0F4F8"/>
            <w:tcMar>
              <w:top w:w="80" w:type="dxa"/>
              <w:bottom w:w="80" w:type="dxa"/>
              <w:left w:w="100" w:type="dxa"/>
              <w:right w:w="100" w:type="dxa"/>
            </w:tcMar>
          </w:tcPr>
          <w:p>
            <w:pPr>
              <w:spacing w:after="0"/>
            </w:pPr>
            <w:r>
              <w:rPr>
                <w:b/>
                <w:color w:val="1B365D"/>
                <w:sz w:val="18"/>
              </w:rPr>
              <w:t>Non-Labor Production Costs</w:t>
            </w:r>
          </w:p>
        </w:tc>
        <w:tc>
          <w:tcPr>
            <w:tcW w:type="dxa" w:w="2340"/>
            <w:shd w:fill="F0F4F8"/>
            <w:tcMar>
              <w:top w:w="80" w:type="dxa"/>
              <w:bottom w:w="80" w:type="dxa"/>
              <w:left w:w="100" w:type="dxa"/>
              <w:right w:w="100" w:type="dxa"/>
            </w:tcMar>
          </w:tcPr>
          <w:p>
            <w:pPr>
              <w:spacing w:after="0"/>
            </w:pPr>
            <w:r>
              <w:rPr>
                <w:color w:val="4A5568"/>
                <w:sz w:val="18"/>
              </w:rPr>
              <w:t>$15,000,000</w:t>
            </w:r>
          </w:p>
        </w:tc>
        <w:tc>
          <w:tcPr>
            <w:tcW w:type="dxa" w:w="2340"/>
            <w:shd w:fill="F0F4F8"/>
            <w:tcMar>
              <w:top w:w="80" w:type="dxa"/>
              <w:bottom w:w="80" w:type="dxa"/>
              <w:left w:w="100" w:type="dxa"/>
              <w:right w:w="100" w:type="dxa"/>
            </w:tcMar>
          </w:tcPr>
          <w:p>
            <w:pPr>
              <w:spacing w:after="0"/>
            </w:pPr>
            <w:r>
              <w:rPr>
                <w:color w:val="4A5568"/>
                <w:sz w:val="18"/>
              </w:rPr>
              <w:t>$15,890,156</w:t>
            </w:r>
          </w:p>
        </w:tc>
        <w:tc>
          <w:tcPr>
            <w:tcW w:type="dxa" w:w="2340"/>
            <w:shd w:fill="F0F4F8"/>
            <w:tcMar>
              <w:top w:w="80" w:type="dxa"/>
              <w:bottom w:w="80" w:type="dxa"/>
              <w:left w:w="100" w:type="dxa"/>
              <w:right w:w="100" w:type="dxa"/>
            </w:tcMar>
          </w:tcPr>
          <w:p>
            <w:pPr>
              <w:spacing w:after="0"/>
            </w:pPr>
            <w:r>
              <w:rPr>
                <w:b/>
                <w:color w:val="1B365D"/>
                <w:sz w:val="18"/>
              </w:rPr>
              <w:t>+$890,156 (Volume Scale)</w:t>
            </w:r>
          </w:p>
        </w:tc>
      </w:tr>
      <w:tr>
        <w:tc>
          <w:tcPr>
            <w:tcW w:type="dxa" w:w="2340"/>
            <w:shd w:fill="FFFFFF"/>
            <w:tcMar>
              <w:top w:w="80" w:type="dxa"/>
              <w:bottom w:w="80" w:type="dxa"/>
              <w:left w:w="100" w:type="dxa"/>
              <w:right w:w="100" w:type="dxa"/>
            </w:tcMar>
          </w:tcPr>
          <w:p>
            <w:pPr>
              <w:spacing w:after="0"/>
            </w:pPr>
            <w:r>
              <w:rPr>
                <w:b/>
                <w:color w:val="1B365D"/>
                <w:sz w:val="18"/>
              </w:rPr>
              <w:t>Gross Operating Profit</w:t>
            </w:r>
          </w:p>
        </w:tc>
        <w:tc>
          <w:tcPr>
            <w:tcW w:type="dxa" w:w="2340"/>
            <w:shd w:fill="FFFFFF"/>
            <w:tcMar>
              <w:top w:w="80" w:type="dxa"/>
              <w:bottom w:w="80" w:type="dxa"/>
              <w:left w:w="100" w:type="dxa"/>
              <w:right w:w="100" w:type="dxa"/>
            </w:tcMar>
          </w:tcPr>
          <w:p>
            <w:pPr>
              <w:spacing w:after="0"/>
            </w:pPr>
            <w:r>
              <w:rPr>
                <w:b/>
                <w:color w:val="1B365D"/>
                <w:sz w:val="18"/>
              </w:rPr>
              <w:t>$1,900,000 (7.6%)</w:t>
            </w:r>
          </w:p>
        </w:tc>
        <w:tc>
          <w:tcPr>
            <w:tcW w:type="dxa" w:w="2340"/>
            <w:shd w:fill="FFFFFF"/>
            <w:tcMar>
              <w:top w:w="80" w:type="dxa"/>
              <w:bottom w:w="80" w:type="dxa"/>
              <w:left w:w="100" w:type="dxa"/>
              <w:right w:w="100" w:type="dxa"/>
            </w:tcMar>
          </w:tcPr>
          <w:p>
            <w:pPr>
              <w:spacing w:after="0"/>
            </w:pPr>
            <w:r>
              <w:rPr>
                <w:b/>
                <w:color w:val="1B365D"/>
                <w:sz w:val="18"/>
              </w:rPr>
              <w:t>$9,173,238 (34.6%)</w:t>
            </w:r>
          </w:p>
        </w:tc>
        <w:tc>
          <w:tcPr>
            <w:tcW w:type="dxa" w:w="2340"/>
            <w:shd w:fill="FFFFFF"/>
            <w:tcMar>
              <w:top w:w="80" w:type="dxa"/>
              <w:bottom w:w="80" w:type="dxa"/>
              <w:left w:w="100" w:type="dxa"/>
              <w:right w:w="100" w:type="dxa"/>
            </w:tcMar>
          </w:tcPr>
          <w:p>
            <w:pPr>
              <w:spacing w:after="0"/>
            </w:pPr>
            <w:r>
              <w:rPr>
                <w:b/>
                <w:color w:val="1B365D"/>
                <w:sz w:val="18"/>
              </w:rPr>
              <w:t>+$7,273,238 (+27.0 pts)</w:t>
            </w:r>
          </w:p>
        </w:tc>
      </w:tr>
      <w:tr>
        <w:tc>
          <w:tcPr>
            <w:tcW w:type="dxa" w:w="2340"/>
            <w:shd w:fill="F0F4F8"/>
            <w:tcMar>
              <w:top w:w="80" w:type="dxa"/>
              <w:bottom w:w="80" w:type="dxa"/>
              <w:left w:w="100" w:type="dxa"/>
              <w:right w:w="100" w:type="dxa"/>
            </w:tcMar>
          </w:tcPr>
          <w:p>
            <w:pPr>
              <w:spacing w:after="0"/>
            </w:pPr>
            <w:r>
              <w:rPr>
                <w:b/>
                <w:color w:val="1B365D"/>
                <w:sz w:val="18"/>
              </w:rPr>
              <w:t>Legacy SaaS Seat Licensing</w:t>
            </w:r>
          </w:p>
        </w:tc>
        <w:tc>
          <w:tcPr>
            <w:tcW w:type="dxa" w:w="2340"/>
            <w:shd w:fill="F0F4F8"/>
            <w:tcMar>
              <w:top w:w="80" w:type="dxa"/>
              <w:bottom w:w="80" w:type="dxa"/>
              <w:left w:w="100" w:type="dxa"/>
              <w:right w:w="100" w:type="dxa"/>
            </w:tcMar>
          </w:tcPr>
          <w:p>
            <w:pPr>
              <w:spacing w:after="0"/>
            </w:pPr>
            <w:r>
              <w:rPr>
                <w:color w:val="4A5568"/>
                <w:sz w:val="18"/>
              </w:rPr>
              <w:t>$600,000</w:t>
            </w:r>
          </w:p>
        </w:tc>
        <w:tc>
          <w:tcPr>
            <w:tcW w:type="dxa" w:w="2340"/>
            <w:shd w:fill="F0F4F8"/>
            <w:tcMar>
              <w:top w:w="80" w:type="dxa"/>
              <w:bottom w:w="80" w:type="dxa"/>
              <w:left w:w="100" w:type="dxa"/>
              <w:right w:w="100" w:type="dxa"/>
            </w:tcMar>
          </w:tcPr>
          <w:p>
            <w:pPr>
              <w:spacing w:after="0"/>
            </w:pPr>
            <w:r>
              <w:rPr>
                <w:color w:val="4A5568"/>
                <w:sz w:val="18"/>
              </w:rPr>
              <w:t>$240,000</w:t>
            </w:r>
          </w:p>
        </w:tc>
        <w:tc>
          <w:tcPr>
            <w:tcW w:type="dxa" w:w="2340"/>
            <w:shd w:fill="F0F4F8"/>
            <w:tcMar>
              <w:top w:w="80" w:type="dxa"/>
              <w:bottom w:w="80" w:type="dxa"/>
              <w:left w:w="100" w:type="dxa"/>
              <w:right w:w="100" w:type="dxa"/>
            </w:tcMar>
          </w:tcPr>
          <w:p>
            <w:pPr>
              <w:spacing w:after="0"/>
            </w:pPr>
            <w:r>
              <w:rPr>
                <w:b/>
                <w:color w:val="1B365D"/>
                <w:sz w:val="18"/>
              </w:rPr>
              <w:t>-$360,000 (-60.0%)</w:t>
            </w:r>
          </w:p>
        </w:tc>
      </w:tr>
      <w:tr>
        <w:tc>
          <w:tcPr>
            <w:tcW w:type="dxa" w:w="2340"/>
            <w:shd w:fill="FFFFFF"/>
            <w:tcMar>
              <w:top w:w="80" w:type="dxa"/>
              <w:bottom w:w="80" w:type="dxa"/>
              <w:left w:w="100" w:type="dxa"/>
              <w:right w:w="100" w:type="dxa"/>
            </w:tcMar>
          </w:tcPr>
          <w:p>
            <w:pPr>
              <w:spacing w:after="0"/>
            </w:pPr>
            <w:r>
              <w:rPr>
                <w:b/>
                <w:color w:val="1B365D"/>
                <w:sz w:val="18"/>
              </w:rPr>
              <w:t>AI Compute &amp; Token Fees</w:t>
            </w:r>
          </w:p>
        </w:tc>
        <w:tc>
          <w:tcPr>
            <w:tcW w:type="dxa" w:w="2340"/>
            <w:shd w:fill="FFFFFF"/>
            <w:tcMar>
              <w:top w:w="80" w:type="dxa"/>
              <w:bottom w:w="80" w:type="dxa"/>
              <w:left w:w="100" w:type="dxa"/>
              <w:right w:w="100" w:type="dxa"/>
            </w:tcMar>
          </w:tcPr>
          <w:p>
            <w:pPr>
              <w:spacing w:after="0"/>
            </w:pPr>
            <w:r>
              <w:rPr>
                <w:color w:val="4A5568"/>
                <w:sz w:val="18"/>
              </w:rPr>
              <w:t>$0</w:t>
            </w:r>
          </w:p>
        </w:tc>
        <w:tc>
          <w:tcPr>
            <w:tcW w:type="dxa" w:w="2340"/>
            <w:shd w:fill="FFFFFF"/>
            <w:tcMar>
              <w:top w:w="80" w:type="dxa"/>
              <w:bottom w:w="80" w:type="dxa"/>
              <w:left w:w="100" w:type="dxa"/>
              <w:right w:w="100" w:type="dxa"/>
            </w:tcMar>
          </w:tcPr>
          <w:p>
            <w:pPr>
              <w:spacing w:after="0"/>
            </w:pPr>
            <w:r>
              <w:rPr>
                <w:color w:val="4A5568"/>
                <w:sz w:val="18"/>
              </w:rPr>
              <w:t>$3,825</w:t>
            </w:r>
          </w:p>
        </w:tc>
        <w:tc>
          <w:tcPr>
            <w:tcW w:type="dxa" w:w="2340"/>
            <w:shd w:fill="FFFFFF"/>
            <w:tcMar>
              <w:top w:w="80" w:type="dxa"/>
              <w:bottom w:w="80" w:type="dxa"/>
              <w:left w:w="100" w:type="dxa"/>
              <w:right w:w="100" w:type="dxa"/>
            </w:tcMar>
          </w:tcPr>
          <w:p>
            <w:pPr>
              <w:spacing w:after="0"/>
            </w:pPr>
            <w:r>
              <w:rPr>
                <w:b/>
                <w:color w:val="1B365D"/>
                <w:sz w:val="18"/>
              </w:rPr>
              <w:t>+$3,825 (12.5k tok/txn)</w:t>
            </w:r>
          </w:p>
        </w:tc>
      </w:tr>
      <w:tr>
        <w:tc>
          <w:tcPr>
            <w:tcW w:type="dxa" w:w="2340"/>
            <w:shd w:fill="F0F4F8"/>
            <w:tcMar>
              <w:top w:w="80" w:type="dxa"/>
              <w:bottom w:w="80" w:type="dxa"/>
              <w:left w:w="100" w:type="dxa"/>
              <w:right w:w="100" w:type="dxa"/>
            </w:tcMar>
          </w:tcPr>
          <w:p>
            <w:pPr>
              <w:spacing w:after="0"/>
            </w:pPr>
            <w:r>
              <w:rPr>
                <w:b/>
                <w:color w:val="1B365D"/>
                <w:sz w:val="18"/>
              </w:rPr>
              <w:t>Cloud Infrastructure &amp; MCP</w:t>
            </w:r>
          </w:p>
        </w:tc>
        <w:tc>
          <w:tcPr>
            <w:tcW w:type="dxa" w:w="2340"/>
            <w:shd w:fill="F0F4F8"/>
            <w:tcMar>
              <w:top w:w="80" w:type="dxa"/>
              <w:bottom w:w="80" w:type="dxa"/>
              <w:left w:w="100" w:type="dxa"/>
              <w:right w:w="100" w:type="dxa"/>
            </w:tcMar>
          </w:tcPr>
          <w:p>
            <w:pPr>
              <w:spacing w:after="0"/>
            </w:pPr>
            <w:r>
              <w:rPr>
                <w:color w:val="4A5568"/>
                <w:sz w:val="18"/>
              </w:rPr>
              <w:t>$0</w:t>
            </w:r>
          </w:p>
        </w:tc>
        <w:tc>
          <w:tcPr>
            <w:tcW w:type="dxa" w:w="2340"/>
            <w:shd w:fill="F0F4F8"/>
            <w:tcMar>
              <w:top w:w="80" w:type="dxa"/>
              <w:bottom w:w="80" w:type="dxa"/>
              <w:left w:w="100" w:type="dxa"/>
              <w:right w:w="100" w:type="dxa"/>
            </w:tcMar>
          </w:tcPr>
          <w:p>
            <w:pPr>
              <w:spacing w:after="0"/>
            </w:pPr>
            <w:r>
              <w:rPr>
                <w:color w:val="4A5568"/>
                <w:sz w:val="18"/>
              </w:rPr>
              <w:t>$36,000</w:t>
            </w:r>
          </w:p>
        </w:tc>
        <w:tc>
          <w:tcPr>
            <w:tcW w:type="dxa" w:w="2340"/>
            <w:shd w:fill="F0F4F8"/>
            <w:tcMar>
              <w:top w:w="80" w:type="dxa"/>
              <w:bottom w:w="80" w:type="dxa"/>
              <w:left w:w="100" w:type="dxa"/>
              <w:right w:w="100" w:type="dxa"/>
            </w:tcMar>
          </w:tcPr>
          <w:p>
            <w:pPr>
              <w:spacing w:after="0"/>
            </w:pPr>
            <w:r>
              <w:rPr>
                <w:b/>
                <w:color w:val="1B365D"/>
                <w:sz w:val="18"/>
              </w:rPr>
              <w:t>+$36,000 (Dedicated Infra)</w:t>
            </w:r>
          </w:p>
        </w:tc>
      </w:tr>
      <w:tr>
        <w:tc>
          <w:tcPr>
            <w:tcW w:type="dxa" w:w="2340"/>
            <w:shd w:fill="FFFFFF"/>
            <w:tcMar>
              <w:top w:w="80" w:type="dxa"/>
              <w:bottom w:w="80" w:type="dxa"/>
              <w:left w:w="100" w:type="dxa"/>
              <w:right w:w="100" w:type="dxa"/>
            </w:tcMar>
          </w:tcPr>
          <w:p>
            <w:pPr>
              <w:spacing w:after="0"/>
            </w:pPr>
            <w:r>
              <w:rPr>
                <w:b/>
                <w:color w:val="1B365D"/>
                <w:sz w:val="18"/>
              </w:rPr>
              <w:t>Managed AI Operations Retainer</w:t>
            </w:r>
          </w:p>
        </w:tc>
        <w:tc>
          <w:tcPr>
            <w:tcW w:type="dxa" w:w="2340"/>
            <w:shd w:fill="FFFFFF"/>
            <w:tcMar>
              <w:top w:w="80" w:type="dxa"/>
              <w:bottom w:w="80" w:type="dxa"/>
              <w:left w:w="100" w:type="dxa"/>
              <w:right w:w="100" w:type="dxa"/>
            </w:tcMar>
          </w:tcPr>
          <w:p>
            <w:pPr>
              <w:spacing w:after="0"/>
            </w:pPr>
            <w:r>
              <w:rPr>
                <w:color w:val="4A5568"/>
                <w:sz w:val="18"/>
              </w:rPr>
              <w:t>$0</w:t>
            </w:r>
          </w:p>
        </w:tc>
        <w:tc>
          <w:tcPr>
            <w:tcW w:type="dxa" w:w="2340"/>
            <w:shd w:fill="FFFFFF"/>
            <w:tcMar>
              <w:top w:w="80" w:type="dxa"/>
              <w:bottom w:w="80" w:type="dxa"/>
              <w:left w:w="100" w:type="dxa"/>
              <w:right w:w="100" w:type="dxa"/>
            </w:tcMar>
          </w:tcPr>
          <w:p>
            <w:pPr>
              <w:spacing w:after="0"/>
            </w:pPr>
            <w:r>
              <w:rPr>
                <w:color w:val="4A5568"/>
                <w:sz w:val="18"/>
              </w:rPr>
              <w:t>$72,000</w:t>
            </w:r>
          </w:p>
        </w:tc>
        <w:tc>
          <w:tcPr>
            <w:tcW w:type="dxa" w:w="2340"/>
            <w:shd w:fill="FFFFFF"/>
            <w:tcMar>
              <w:top w:w="80" w:type="dxa"/>
              <w:bottom w:w="80" w:type="dxa"/>
              <w:left w:w="100" w:type="dxa"/>
              <w:right w:w="100" w:type="dxa"/>
            </w:tcMar>
          </w:tcPr>
          <w:p>
            <w:pPr>
              <w:spacing w:after="0"/>
            </w:pPr>
            <w:r>
              <w:rPr>
                <w:b/>
                <w:color w:val="1B365D"/>
                <w:sz w:val="18"/>
              </w:rPr>
              <w:t>+$72,000 (Continuous Ops)</w:t>
            </w:r>
          </w:p>
        </w:tc>
      </w:tr>
      <w:tr>
        <w:tc>
          <w:tcPr>
            <w:tcW w:type="dxa" w:w="2340"/>
            <w:shd w:fill="F0F4F8"/>
            <w:tcMar>
              <w:top w:w="80" w:type="dxa"/>
              <w:bottom w:w="80" w:type="dxa"/>
              <w:left w:w="100" w:type="dxa"/>
              <w:right w:w="100" w:type="dxa"/>
            </w:tcMar>
          </w:tcPr>
          <w:p>
            <w:pPr>
              <w:spacing w:after="0"/>
            </w:pPr>
            <w:r>
              <w:rPr>
                <w:b/>
                <w:color w:val="1B365D"/>
                <w:sz w:val="18"/>
              </w:rPr>
              <w:t>Net Operational EBITDA</w:t>
            </w:r>
          </w:p>
        </w:tc>
        <w:tc>
          <w:tcPr>
            <w:tcW w:type="dxa" w:w="2340"/>
            <w:shd w:fill="F0F4F8"/>
            <w:tcMar>
              <w:top w:w="80" w:type="dxa"/>
              <w:bottom w:w="80" w:type="dxa"/>
              <w:left w:w="100" w:type="dxa"/>
              <w:right w:w="100" w:type="dxa"/>
            </w:tcMar>
          </w:tcPr>
          <w:p>
            <w:pPr>
              <w:spacing w:after="0"/>
            </w:pPr>
            <w:r>
              <w:rPr>
                <w:b/>
                <w:color w:val="1B365D"/>
                <w:sz w:val="18"/>
              </w:rPr>
              <w:t>$500,000 (2.0%)</w:t>
            </w:r>
          </w:p>
        </w:tc>
        <w:tc>
          <w:tcPr>
            <w:tcW w:type="dxa" w:w="2340"/>
            <w:shd w:fill="F0F4F8"/>
            <w:tcMar>
              <w:top w:w="80" w:type="dxa"/>
              <w:bottom w:w="80" w:type="dxa"/>
              <w:left w:w="100" w:type="dxa"/>
              <w:right w:w="100" w:type="dxa"/>
            </w:tcMar>
          </w:tcPr>
          <w:p>
            <w:pPr>
              <w:spacing w:after="0"/>
            </w:pPr>
            <w:r>
              <w:rPr>
                <w:b/>
                <w:color w:val="1B365D"/>
                <w:sz w:val="18"/>
              </w:rPr>
              <w:t>$8,021,413 (30.3%)</w:t>
            </w:r>
          </w:p>
        </w:tc>
        <w:tc>
          <w:tcPr>
            <w:tcW w:type="dxa" w:w="2340"/>
            <w:shd w:fill="F0F4F8"/>
            <w:tcMar>
              <w:top w:w="80" w:type="dxa"/>
              <w:bottom w:w="80" w:type="dxa"/>
              <w:left w:w="100" w:type="dxa"/>
              <w:right w:w="100" w:type="dxa"/>
            </w:tcMar>
          </w:tcPr>
          <w:p>
            <w:pPr>
              <w:spacing w:after="0"/>
            </w:pPr>
            <w:r>
              <w:rPr>
                <w:b/>
                <w:color w:val="1B365D"/>
                <w:sz w:val="18"/>
              </w:rPr>
              <w:t>+$7,521,413 (+28.3 pts)</w:t>
            </w:r>
          </w:p>
        </w:tc>
      </w:tr>
      <w:tr>
        <w:tc>
          <w:tcPr>
            <w:tcW w:type="dxa" w:w="2340"/>
            <w:shd w:fill="FFFFFF"/>
            <w:tcMar>
              <w:top w:w="80" w:type="dxa"/>
              <w:bottom w:w="80" w:type="dxa"/>
              <w:left w:w="100" w:type="dxa"/>
              <w:right w:w="100" w:type="dxa"/>
            </w:tcMar>
          </w:tcPr>
          <w:p>
            <w:pPr>
              <w:spacing w:after="0"/>
            </w:pPr>
            <w:r>
              <w:rPr>
                <w:b/>
                <w:color w:val="1B365D"/>
                <w:sz w:val="18"/>
              </w:rPr>
              <w:t>Unit Cost per Transaction</w:t>
            </w:r>
          </w:p>
        </w:tc>
        <w:tc>
          <w:tcPr>
            <w:tcW w:type="dxa" w:w="2340"/>
            <w:shd w:fill="FFFFFF"/>
            <w:tcMar>
              <w:top w:w="80" w:type="dxa"/>
              <w:bottom w:w="80" w:type="dxa"/>
              <w:left w:w="100" w:type="dxa"/>
              <w:right w:w="100" w:type="dxa"/>
            </w:tcMar>
          </w:tcPr>
          <w:p>
            <w:pPr>
              <w:spacing w:after="0"/>
            </w:pPr>
            <w:r>
              <w:rPr>
                <w:color w:val="4A5568"/>
                <w:sz w:val="18"/>
              </w:rPr>
              <w:t>$67.50 / unit</w:t>
            </w:r>
          </w:p>
        </w:tc>
        <w:tc>
          <w:tcPr>
            <w:tcW w:type="dxa" w:w="2340"/>
            <w:shd w:fill="FFFFFF"/>
            <w:tcMar>
              <w:top w:w="80" w:type="dxa"/>
              <w:bottom w:w="80" w:type="dxa"/>
              <w:left w:w="100" w:type="dxa"/>
              <w:right w:w="100" w:type="dxa"/>
            </w:tcMar>
          </w:tcPr>
          <w:p>
            <w:pPr>
              <w:spacing w:after="0"/>
            </w:pPr>
            <w:r>
              <w:rPr>
                <w:color w:val="4A5568"/>
                <w:sz w:val="18"/>
              </w:rPr>
              <w:t>$12.77 / unit</w:t>
            </w:r>
          </w:p>
        </w:tc>
        <w:tc>
          <w:tcPr>
            <w:tcW w:type="dxa" w:w="2340"/>
            <w:shd w:fill="FFFFFF"/>
            <w:tcMar>
              <w:top w:w="80" w:type="dxa"/>
              <w:bottom w:w="80" w:type="dxa"/>
              <w:left w:w="100" w:type="dxa"/>
              <w:right w:w="100" w:type="dxa"/>
            </w:tcMar>
          </w:tcPr>
          <w:p>
            <w:pPr>
              <w:spacing w:after="0"/>
            </w:pPr>
            <w:r>
              <w:rPr>
                <w:b/>
                <w:color w:val="1B365D"/>
                <w:sz w:val="18"/>
              </w:rPr>
              <w:t>-81.1% Cost Compression</w:t>
            </w:r>
          </w:p>
        </w:tc>
      </w:tr>
    </w:tbl>
    <w:p>
      <w:pPr>
        <w:spacing w:after="200"/>
      </w:pPr>
    </w:p>
    <w:p>
      <w:pPr>
        <w:keepNext/>
        <w:spacing w:before="320" w:after="120"/>
      </w:pPr>
      <w:r>
        <w:rPr>
          <w:b/>
          <w:color w:val="1B365D"/>
          <w:sz w:val="28"/>
        </w:rPr>
        <w:t>6. Phased Implementation Lifecycle</w:t>
      </w:r>
    </w:p>
    <w:p>
      <w:r>
        <w:t>A disciplined 4-phase transformation methodology prevents technical debt accumulation and aligns organizational culture:</w:t>
      </w:r>
    </w:p>
    <w:p>
      <w:pPr>
        <w:spacing w:after="80"/>
        <w:ind w:left="360"/>
      </w:pPr>
      <w:r>
        <w:rPr>
          <w:b/>
          <w:color w:val="1B365D"/>
        </w:rPr>
        <w:t xml:space="preserve">• Phase 1: Discover &amp; Diagnose (Weeks 1–3): </w:t>
      </w:r>
      <w:r>
        <w:rPr>
          <w:color w:val="4A5568"/>
        </w:rPr>
        <w:t>Execute quantitative value-stream mapping. Calculate Opportunity Index (I_opp) to isolate 1–2 high-friction domains. Deliver current-state friction analysis and financial baseline.</w:t>
      </w:r>
    </w:p>
    <w:p>
      <w:pPr>
        <w:spacing w:after="80"/>
        <w:ind w:left="360"/>
      </w:pPr>
      <w:r>
        <w:rPr>
          <w:b/>
          <w:color w:val="1B365D"/>
        </w:rPr>
        <w:t xml:space="preserve">• Phase 2: Operating Model Blueprint (Weeks 4–6): </w:t>
      </w:r>
      <w:r>
        <w:rPr>
          <w:color w:val="4A5568"/>
        </w:rPr>
        <w:t>Deconstruct workflows into task graphs. Map Decision Rights Matrix. Define JSON data contracts, MCP tool connectors, and Policy-as-Code guardrails.</w:t>
      </w:r>
    </w:p>
    <w:p>
      <w:pPr>
        <w:spacing w:after="80"/>
        <w:ind w:left="360"/>
      </w:pPr>
      <w:r>
        <w:rPr>
          <w:b/>
          <w:color w:val="1B365D"/>
        </w:rPr>
        <w:t xml:space="preserve">• Phase 3: Bounded Pod Implementation (Weeks 7–14): </w:t>
      </w:r>
      <w:r>
        <w:rPr>
          <w:color w:val="4A5568"/>
        </w:rPr>
        <w:t>Deploy execution harness (orchestrator, vector stores, watchdog models). Upskill frontline workers into Agent Supervisors. Track telemetry and human override rates.</w:t>
      </w:r>
    </w:p>
    <w:p>
      <w:pPr>
        <w:spacing w:after="80"/>
        <w:ind w:left="360"/>
      </w:pPr>
      <w:r>
        <w:rPr>
          <w:b/>
          <w:color w:val="1B365D"/>
        </w:rPr>
        <w:t xml:space="preserve">• Phase 4: Industrialization &amp; Continuous Rewiring (Weeks 15+): </w:t>
      </w:r>
      <w:r>
        <w:rPr>
          <w:color w:val="4A5568"/>
        </w:rPr>
        <w:t>Productize custom connectors into reusable enterprise platform modules. Shift funding to dynamic value-driven allocation. Continuously rewire as frontier models evolve.</w:t>
      </w:r>
    </w:p>
    <w:p>
      <w:pPr>
        <w:spacing w:after="200"/>
      </w:pPr>
    </w:p>
    <w:p>
      <w:pPr>
        <w:keepNext/>
        <w:spacing w:before="320" w:after="120"/>
      </w:pPr>
      <w:r>
        <w:rPr>
          <w:b/>
          <w:color w:val="1B365D"/>
          <w:sz w:val="28"/>
        </w:rPr>
        <w:t>7. Reference Library &amp; Evidence Base</w:t>
      </w:r>
    </w:p>
    <w:p>
      <w:pPr>
        <w:spacing w:after="60"/>
        <w:ind w:left="360"/>
      </w:pPr>
      <w:r>
        <w:rPr>
          <w:b/>
          <w:color w:val="1B365D"/>
          <w:sz w:val="17"/>
        </w:rPr>
        <w:t xml:space="preserve">[Stanford Institute for Human-Centered AI] </w:t>
      </w:r>
      <w:r>
        <w:rPr>
          <w:color w:val="4A5568"/>
          <w:sz w:val="17"/>
        </w:rPr>
        <w:t>Stanford Institute for Human-Centered AI (HAI). (2026). The 2026 AI Index Report: Measuring Trends in AI Economy and Responsible Governance. Stanford University.</w:t>
      </w:r>
    </w:p>
    <w:p>
      <w:pPr>
        <w:spacing w:after="60"/>
        <w:ind w:left="360"/>
      </w:pPr>
      <w:r>
        <w:rPr>
          <w:b/>
          <w:color w:val="1B365D"/>
          <w:sz w:val="17"/>
        </w:rPr>
        <w:t xml:space="preserve">[PwC.] </w:t>
      </w:r>
      <w:r>
        <w:rPr>
          <w:color w:val="4A5568"/>
          <w:sz w:val="17"/>
        </w:rPr>
        <w:t>PwC. (April 2026). 2026 AI Performance Study: How the Top 20% of Enterprises Capture 74% of Economic Value. PwC Global.</w:t>
      </w:r>
    </w:p>
    <w:p>
      <w:pPr>
        <w:spacing w:after="60"/>
        <w:ind w:left="360"/>
      </w:pPr>
      <w:r>
        <w:rPr>
          <w:b/>
          <w:color w:val="1B365D"/>
          <w:sz w:val="17"/>
        </w:rPr>
        <w:t xml:space="preserve">[Deloitte Touche Tohmatsu Limited.] </w:t>
      </w:r>
      <w:r>
        <w:rPr>
          <w:color w:val="4A5568"/>
          <w:sz w:val="17"/>
        </w:rPr>
        <w:t>Deloitte Touche Tohmatsu Limited. (June 2026). 2026 Global Technology Leadership Study: Rewiring the Enterprise Operating Model for AI Scale. Deloitte Insights.</w:t>
      </w:r>
    </w:p>
    <w:p>
      <w:pPr>
        <w:spacing w:after="60"/>
        <w:ind w:left="360"/>
      </w:pPr>
      <w:r>
        <w:rPr>
          <w:b/>
          <w:color w:val="1B365D"/>
          <w:sz w:val="17"/>
        </w:rPr>
        <w:t xml:space="preserve">[Boston Consulting Group] </w:t>
      </w:r>
      <w:r>
        <w:rPr>
          <w:color w:val="4A5568"/>
          <w:sz w:val="17"/>
        </w:rPr>
        <w:t>Boston Consulting Group (BCG). (June 2026). AI at Work 2026: Strategy and Operating Architecture Matter More Than Tools. BCG Global.</w:t>
      </w:r>
    </w:p>
    <w:p>
      <w:pPr>
        <w:spacing w:after="60"/>
        <w:ind w:left="360"/>
      </w:pPr>
      <w:r>
        <w:rPr>
          <w:b/>
          <w:color w:val="1B365D"/>
          <w:sz w:val="17"/>
        </w:rPr>
        <w:t xml:space="preserve">[KPMG International.] </w:t>
      </w:r>
      <w:r>
        <w:rPr>
          <w:color w:val="4A5568"/>
          <w:sz w:val="17"/>
        </w:rPr>
        <w:t>KPMG International. (July 2026). Reorganise or Fall Behind: Enterprise Orchestration and Value Realization in the AI Decade. KPMG Thought Leadership.</w:t>
      </w:r>
    </w:p>
    <w:p>
      <w:pPr>
        <w:spacing w:after="60"/>
        <w:ind w:left="360"/>
      </w:pPr>
      <w:r>
        <w:rPr>
          <w:b/>
          <w:color w:val="1B365D"/>
          <w:sz w:val="17"/>
        </w:rPr>
        <w:t xml:space="preserve">[McKinsey &amp; Company.] </w:t>
      </w:r>
      <w:r>
        <w:rPr>
          <w:color w:val="4A5568"/>
          <w:sz w:val="17"/>
        </w:rPr>
        <w:t>McKinsey &amp; Company. (July 2026). The Operating Model Advantage: Why AI Winners Are Rewiring Their Organizations. McKinsey Digital.</w:t>
      </w:r>
    </w:p>
    <w:p>
      <w:pPr>
        <w:spacing w:after="60"/>
        <w:ind w:left="360"/>
      </w:pPr>
      <w:r>
        <w:rPr>
          <w:b/>
          <w:color w:val="1B365D"/>
          <w:sz w:val="17"/>
        </w:rPr>
        <w:t xml:space="preserve">[McKinsey &amp; Company.] </w:t>
      </w:r>
      <w:r>
        <w:rPr>
          <w:color w:val="4A5568"/>
          <w:sz w:val="17"/>
        </w:rPr>
        <w:t>McKinsey &amp; Company. (August 2026). Beyond the Copilot: Scaling the Agentic Product Development Life Cycle. McKinsey Digital.</w:t>
      </w:r>
    </w:p>
    <w:p>
      <w:pPr>
        <w:spacing w:after="60"/>
        <w:ind w:left="360"/>
      </w:pPr>
      <w:r>
        <w:rPr>
          <w:b/>
          <w:color w:val="1B365D"/>
          <w:sz w:val="17"/>
        </w:rPr>
        <w:t xml:space="preserve">[Bain &amp; Company.] </w:t>
      </w:r>
      <w:r>
        <w:rPr>
          <w:color w:val="4A5568"/>
          <w:sz w:val="17"/>
        </w:rPr>
        <w:t>Bain &amp; Company. (May 2026). Architecting for Agentic AI: The Shift from Episodic Tools to Persistent Workers. Bain Strategy Insights.</w:t>
      </w:r>
    </w:p>
    <w:p>
      <w:pPr>
        <w:spacing w:after="60"/>
        <w:ind w:left="360"/>
      </w:pPr>
      <w:r>
        <w:rPr>
          <w:b/>
          <w:color w:val="1B365D"/>
          <w:sz w:val="17"/>
        </w:rPr>
        <w:t xml:space="preserve">[Gartner, Inc.] </w:t>
      </w:r>
      <w:r>
        <w:rPr>
          <w:color w:val="4A5568"/>
          <w:sz w:val="17"/>
        </w:rPr>
        <w:t>Gartner, Inc. (June–July 2026). Organization Design to Scale AI Impact: 6 Operating Model Shifts &amp; Unlocking Human + AI Advantage. Gartner Research.</w:t>
      </w:r>
    </w:p>
    <w:p>
      <w:pPr>
        <w:spacing w:after="60"/>
        <w:ind w:left="360"/>
      </w:pPr>
      <w:r>
        <w:rPr>
          <w:b/>
          <w:color w:val="1B365D"/>
          <w:sz w:val="17"/>
        </w:rPr>
        <w:t xml:space="preserve">[World Economic Forum &amp; Kearney.] </w:t>
      </w:r>
      <w:r>
        <w:rPr>
          <w:color w:val="4A5568"/>
          <w:sz w:val="17"/>
        </w:rPr>
        <w:t>World Economic Forum &amp; Kearney. (June 2026). The AI-First Operating System: A Blueprint for Operating and Business Model Innovation. WEF Platform.</w:t>
      </w:r>
    </w:p>
    <w:p>
      <w:pPr>
        <w:spacing w:after="60"/>
        <w:ind w:left="360"/>
      </w:pPr>
      <w:r>
        <w:rPr>
          <w:b/>
          <w:color w:val="1B365D"/>
          <w:sz w:val="17"/>
        </w:rPr>
        <w:t xml:space="preserve">[Accenture.] </w:t>
      </w:r>
      <w:r>
        <w:rPr>
          <w:color w:val="4A5568"/>
          <w:sz w:val="17"/>
        </w:rPr>
        <w:t>Accenture. (March–August 2026). Total Enterprise Reinvention &amp; AI-Native Software Delivery. Accenture Research.</w:t>
      </w:r>
    </w:p>
    <w:p>
      <w:pPr>
        <w:spacing w:after="60"/>
        <w:ind w:left="360"/>
      </w:pPr>
      <w:r>
        <w:rPr>
          <w:b/>
          <w:color w:val="1B365D"/>
          <w:sz w:val="17"/>
        </w:rPr>
        <w:t xml:space="preserve">[IBM Institute for Business Value.] </w:t>
      </w:r>
      <w:r>
        <w:rPr>
          <w:color w:val="4A5568"/>
          <w:sz w:val="17"/>
        </w:rPr>
        <w:t>IBM Institute for Business Value. (July 2026). What the AI-Driven Enterprise Operating Model Looks Like: Modernizing Core Platforms for AI-DLC. IBM Corporation.</w:t>
      </w:r>
    </w:p>
    <w:p>
      <w:pPr>
        <w:spacing w:after="60"/>
        <w:ind w:left="360"/>
      </w:pPr>
      <w:r>
        <w:rPr>
          <w:b/>
          <w:color w:val="1B365D"/>
          <w:sz w:val="17"/>
        </w:rPr>
        <w:t xml:space="preserve">[Oliver Wyman.] </w:t>
      </w:r>
      <w:r>
        <w:rPr>
          <w:color w:val="4A5568"/>
          <w:sz w:val="17"/>
        </w:rPr>
        <w:t>Oliver Wyman. (May 2026). AI for Enterprise Legacy IT: Operating Models for Autonomous Workflow Orchestration. Oliver Wyman Global.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