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p>
    <w:p>
      <w:pPr>
        <w:shd w:fill="0A0A0C" w:val="clear"/>
        <w:spacing w:after="0" w:before="0"/>
        <w:ind w:left="-1440" w:right="-1440"/>
      </w:pPr>
      <w:r>
        <w:rPr>
          <w:sz w:val="10"/>
          <w:szCs w:val="10"/>
        </w:rPr>
        <w:t xml:space="preserve"/>
      </w:r>
    </w:p>
    <w:p>
      <w:pPr>
        <w:shd w:fill="0A0A0C" w:val="clear"/>
        <w:spacing w:after="0" w:before="200"/>
      </w:pPr>
      <w:r>
        <w:rPr>
          <w:rFonts w:ascii="Arial" w:cs="Arial" w:eastAsia="Arial" w:hAnsi="Arial"/>
          <w:b/>
          <w:bCs/>
          <w:color w:val="9CA3AF"/>
          <w:sz w:val="24"/>
          <w:szCs w:val="24"/>
        </w:rPr>
        <w:t xml:space="preserve">PROJECT</w:t>
      </w:r>
    </w:p>
    <w:p>
      <w:pPr>
        <w:shd w:fill="0A0A0C" w:val="clear"/>
        <w:spacing w:after="40" w:before="60"/>
      </w:pPr>
      <w:r>
        <w:rPr>
          <w:rFonts w:ascii="Arial" w:cs="Arial" w:eastAsia="Arial" w:hAnsi="Arial"/>
          <w:b/>
          <w:bCs/>
          <w:color w:val="FFFFFF"/>
          <w:sz w:val="72"/>
          <w:szCs w:val="72"/>
        </w:rPr>
        <w:t xml:space="preserve">CloudPulse Pro</w:t>
      </w:r>
    </w:p>
    <w:p>
      <w:pPr>
        <w:shd w:fill="0A0A0C" w:val="clear"/>
        <w:spacing w:after="0" w:before="0"/>
      </w:pPr>
      <w:r>
        <w:rPr>
          <w:rFonts w:ascii="Arial" w:cs="Arial" w:eastAsia="Arial" w:hAnsi="Arial"/>
          <w:color w:val="BFDBFE"/>
          <w:sz w:val="44"/>
          <w:szCs w:val="44"/>
        </w:rPr>
        <w:t xml:space="preserve">AWS Edition</w:t>
      </w:r>
    </w:p>
    <w:p>
      <w:pPr>
        <w:shd w:fill="0A0A0C" w:val="clear"/>
        <w:spacing w:after="200" w:before="40"/>
      </w:pPr>
      <w:r>
        <w:rPr>
          <w:rFonts w:ascii="Arial" w:cs="Arial" w:eastAsia="Arial" w:hAnsi="Arial"/>
          <w:i/>
          <w:iCs/>
          <w:color w:val="9CA3AF"/>
          <w:sz w:val="28"/>
          <w:szCs w:val="28"/>
        </w:rPr>
        <w:t xml:space="preserve">Autonomous AI FinOps &amp; Cloud Governance Platform</w:t>
      </w:r>
    </w:p>
    <w:p>
      <w:pPr>
        <w:pBdr>
          <w:bottom w:val="single" w:color="2563EB" w:sz="6" w:space="1"/>
        </w:pBdr>
        <w:shd w:fill="0A0A0C" w:val="clear"/>
        <w:spacing w:after="240" w:before="0"/>
      </w:pPr>
      <w:r>
        <w:rPr>
          <w:sz w:val="10"/>
          <w:szCs w:val="10"/>
        </w:rPr>
        <w:t xml:space="preserve"/>
      </w:r>
    </w:p>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none" w:color="FFFFFF" w:sz="0"/>
              <w:left w:val="none" w:color="FFFFFF" w:sz="0"/>
              <w:bottom w:val="none" w:color="FFFFFF" w:sz="0"/>
              <w:right w:val="none" w:color="FFFFFF" w:sz="0"/>
            </w:tcBorders>
            <w:shd w:fill="111827" w:val="clear"/>
            <w:tcMar>
              <w:top w:type="dxa" w:w="80"/>
              <w:left w:type="dxa" w:w="180"/>
              <w:bottom w:type="dxa" w:w="80"/>
              <w:right w:type="dxa" w:w="80"/>
            </w:tcMar>
          </w:tcPr>
          <w:p>
            <w:r>
              <w:rPr>
                <w:rFonts w:ascii="Arial" w:cs="Arial" w:eastAsia="Arial" w:hAnsi="Arial"/>
                <w:b/>
                <w:bCs/>
                <w:color w:val="6B7280"/>
                <w:sz w:val="20"/>
                <w:szCs w:val="20"/>
              </w:rPr>
              <w:t xml:space="preserve">Document Type</w:t>
            </w:r>
          </w:p>
        </w:tc>
        <w:tc>
          <w:tcPr>
            <w:tcW w:type="dxa" w:w="6084"/>
            <w:tcBorders>
              <w:top w:val="none" w:color="FFFFFF" w:sz="0"/>
              <w:left w:val="none" w:color="FFFFFF" w:sz="0"/>
              <w:bottom w:val="none" w:color="FFFFFF" w:sz="0"/>
              <w:right w:val="none" w:color="FFFFFF" w:sz="0"/>
            </w:tcBorders>
            <w:shd w:fill="111827" w:val="clear"/>
            <w:tcMar>
              <w:top w:type="dxa" w:w="80"/>
              <w:left w:type="dxa" w:w="80"/>
              <w:bottom w:type="dxa" w:w="80"/>
              <w:right w:type="dxa" w:w="80"/>
            </w:tcMar>
          </w:tcPr>
          <w:p>
            <w:r>
              <w:rPr>
                <w:rFonts w:ascii="Arial" w:cs="Arial" w:eastAsia="Arial" w:hAnsi="Arial"/>
                <w:color w:val="FFFFFF"/>
                <w:sz w:val="20"/>
                <w:szCs w:val="20"/>
              </w:rPr>
              <w:t xml:space="preserve">Unified Reference — PRD + Design Spec + Tech Stack</w:t>
            </w:r>
          </w:p>
        </w:tc>
      </w:tr>
      <w:tr>
        <w:tc>
          <w:tcPr>
            <w:tcW w:type="dxa" w:w="3276"/>
            <w:tcBorders>
              <w:top w:val="none" w:color="FFFFFF" w:sz="0"/>
              <w:left w:val="none" w:color="FFFFFF" w:sz="0"/>
              <w:bottom w:val="none" w:color="FFFFFF" w:sz="0"/>
              <w:right w:val="none" w:color="FFFFFF" w:sz="0"/>
            </w:tcBorders>
            <w:shd w:fill="111827" w:val="clear"/>
            <w:tcMar>
              <w:top w:type="dxa" w:w="80"/>
              <w:left w:type="dxa" w:w="180"/>
              <w:bottom w:type="dxa" w:w="80"/>
              <w:right w:type="dxa" w:w="80"/>
            </w:tcMar>
          </w:tcPr>
          <w:p>
            <w:r>
              <w:rPr>
                <w:rFonts w:ascii="Arial" w:cs="Arial" w:eastAsia="Arial" w:hAnsi="Arial"/>
                <w:b/>
                <w:bCs/>
                <w:color w:val="6B7280"/>
                <w:sz w:val="20"/>
                <w:szCs w:val="20"/>
              </w:rPr>
              <w:t xml:space="preserve">Version</w:t>
            </w:r>
          </w:p>
        </w:tc>
        <w:tc>
          <w:tcPr>
            <w:tcW w:type="dxa" w:w="6084"/>
            <w:tcBorders>
              <w:top w:val="none" w:color="FFFFFF" w:sz="0"/>
              <w:left w:val="none" w:color="FFFFFF" w:sz="0"/>
              <w:bottom w:val="none" w:color="FFFFFF" w:sz="0"/>
              <w:right w:val="none" w:color="FFFFFF" w:sz="0"/>
            </w:tcBorders>
            <w:shd w:fill="111827" w:val="clear"/>
            <w:tcMar>
              <w:top w:type="dxa" w:w="80"/>
              <w:left w:type="dxa" w:w="80"/>
              <w:bottom w:type="dxa" w:w="80"/>
              <w:right w:type="dxa" w:w="80"/>
            </w:tcMar>
          </w:tcPr>
          <w:p>
            <w:r>
              <w:rPr>
                <w:rFonts w:ascii="Arial" w:cs="Arial" w:eastAsia="Arial" w:hAnsi="Arial"/>
                <w:color w:val="FFFFFF"/>
                <w:sz w:val="20"/>
                <w:szCs w:val="20"/>
              </w:rPr>
              <w:t xml:space="preserve">2.0 (Rebuild)</w:t>
            </w:r>
          </w:p>
        </w:tc>
      </w:tr>
      <w:tr>
        <w:tc>
          <w:tcPr>
            <w:tcW w:type="dxa" w:w="3276"/>
            <w:tcBorders>
              <w:top w:val="none" w:color="FFFFFF" w:sz="0"/>
              <w:left w:val="none" w:color="FFFFFF" w:sz="0"/>
              <w:bottom w:val="none" w:color="FFFFFF" w:sz="0"/>
              <w:right w:val="none" w:color="FFFFFF" w:sz="0"/>
            </w:tcBorders>
            <w:shd w:fill="111827" w:val="clear"/>
            <w:tcMar>
              <w:top w:type="dxa" w:w="80"/>
              <w:left w:type="dxa" w:w="180"/>
              <w:bottom w:type="dxa" w:w="80"/>
              <w:right w:type="dxa" w:w="80"/>
            </w:tcMar>
          </w:tcPr>
          <w:p>
            <w:r>
              <w:rPr>
                <w:rFonts w:ascii="Arial" w:cs="Arial" w:eastAsia="Arial" w:hAnsi="Arial"/>
                <w:b/>
                <w:bCs/>
                <w:color w:val="6B7280"/>
                <w:sz w:val="20"/>
                <w:szCs w:val="20"/>
              </w:rPr>
              <w:t xml:space="preserve">Status</w:t>
            </w:r>
          </w:p>
        </w:tc>
        <w:tc>
          <w:tcPr>
            <w:tcW w:type="dxa" w:w="6084"/>
            <w:tcBorders>
              <w:top w:val="none" w:color="FFFFFF" w:sz="0"/>
              <w:left w:val="none" w:color="FFFFFF" w:sz="0"/>
              <w:bottom w:val="none" w:color="FFFFFF" w:sz="0"/>
              <w:right w:val="none" w:color="FFFFFF" w:sz="0"/>
            </w:tcBorders>
            <w:shd w:fill="111827" w:val="clear"/>
            <w:tcMar>
              <w:top w:type="dxa" w:w="80"/>
              <w:left w:type="dxa" w:w="80"/>
              <w:bottom w:type="dxa" w:w="80"/>
              <w:right w:type="dxa" w:w="80"/>
            </w:tcMar>
          </w:tcPr>
          <w:p>
            <w:r>
              <w:rPr>
                <w:rFonts w:ascii="Arial" w:cs="Arial" w:eastAsia="Arial" w:hAnsi="Arial"/>
                <w:color w:val="FFFFFF"/>
                <w:sz w:val="20"/>
                <w:szCs w:val="20"/>
              </w:rPr>
              <w:t xml:space="preserve">Draft / Technical Specification</w:t>
            </w:r>
          </w:p>
        </w:tc>
      </w:tr>
      <w:tr>
        <w:tc>
          <w:tcPr>
            <w:tcW w:type="dxa" w:w="3276"/>
            <w:tcBorders>
              <w:top w:val="none" w:color="FFFFFF" w:sz="0"/>
              <w:left w:val="none" w:color="FFFFFF" w:sz="0"/>
              <w:bottom w:val="none" w:color="FFFFFF" w:sz="0"/>
              <w:right w:val="none" w:color="FFFFFF" w:sz="0"/>
            </w:tcBorders>
            <w:shd w:fill="111827" w:val="clear"/>
            <w:tcMar>
              <w:top w:type="dxa" w:w="80"/>
              <w:left w:type="dxa" w:w="180"/>
              <w:bottom w:type="dxa" w:w="80"/>
              <w:right w:type="dxa" w:w="80"/>
            </w:tcMar>
          </w:tcPr>
          <w:p>
            <w:r>
              <w:rPr>
                <w:rFonts w:ascii="Arial" w:cs="Arial" w:eastAsia="Arial" w:hAnsi="Arial"/>
                <w:b/>
                <w:bCs/>
                <w:color w:val="6B7280"/>
                <w:sz w:val="20"/>
                <w:szCs w:val="20"/>
              </w:rPr>
              <w:t xml:space="preserve">Lead Designer / Architect</w:t>
            </w:r>
          </w:p>
        </w:tc>
        <w:tc>
          <w:tcPr>
            <w:tcW w:type="dxa" w:w="6084"/>
            <w:tcBorders>
              <w:top w:val="none" w:color="FFFFFF" w:sz="0"/>
              <w:left w:val="none" w:color="FFFFFF" w:sz="0"/>
              <w:bottom w:val="none" w:color="FFFFFF" w:sz="0"/>
              <w:right w:val="none" w:color="FFFFFF" w:sz="0"/>
            </w:tcBorders>
            <w:shd w:fill="111827" w:val="clear"/>
            <w:tcMar>
              <w:top w:type="dxa" w:w="80"/>
              <w:left w:type="dxa" w:w="80"/>
              <w:bottom w:type="dxa" w:w="80"/>
              <w:right w:type="dxa" w:w="80"/>
            </w:tcMar>
          </w:tcPr>
          <w:p>
            <w:r>
              <w:rPr>
                <w:rFonts w:ascii="Arial" w:cs="Arial" w:eastAsia="Arial" w:hAnsi="Arial"/>
                <w:color w:val="FFFFFF"/>
                <w:sz w:val="20"/>
                <w:szCs w:val="20"/>
              </w:rPr>
              <w:t xml:space="preserve">Yashvardhan Mishra</w:t>
            </w:r>
          </w:p>
        </w:tc>
      </w:tr>
      <w:tr>
        <w:tc>
          <w:tcPr>
            <w:tcW w:type="dxa" w:w="3276"/>
            <w:tcBorders>
              <w:top w:val="none" w:color="FFFFFF" w:sz="0"/>
              <w:left w:val="none" w:color="FFFFFF" w:sz="0"/>
              <w:bottom w:val="none" w:color="FFFFFF" w:sz="0"/>
              <w:right w:val="none" w:color="FFFFFF" w:sz="0"/>
            </w:tcBorders>
            <w:shd w:fill="111827" w:val="clear"/>
            <w:tcMar>
              <w:top w:type="dxa" w:w="80"/>
              <w:left w:type="dxa" w:w="180"/>
              <w:bottom w:type="dxa" w:w="80"/>
              <w:right w:type="dxa" w:w="80"/>
            </w:tcMar>
          </w:tcPr>
          <w:p>
            <w:r>
              <w:rPr>
                <w:rFonts w:ascii="Arial" w:cs="Arial" w:eastAsia="Arial" w:hAnsi="Arial"/>
                <w:b/>
                <w:bCs/>
                <w:color w:val="6B7280"/>
                <w:sz w:val="20"/>
                <w:szCs w:val="20"/>
              </w:rPr>
              <w:t xml:space="preserve">Focus</w:t>
            </w:r>
          </w:p>
        </w:tc>
        <w:tc>
          <w:tcPr>
            <w:tcW w:type="dxa" w:w="6084"/>
            <w:tcBorders>
              <w:top w:val="none" w:color="FFFFFF" w:sz="0"/>
              <w:left w:val="none" w:color="FFFFFF" w:sz="0"/>
              <w:bottom w:val="none" w:color="FFFFFF" w:sz="0"/>
              <w:right w:val="none" w:color="FFFFFF" w:sz="0"/>
            </w:tcBorders>
            <w:shd w:fill="111827" w:val="clear"/>
            <w:tcMar>
              <w:top w:type="dxa" w:w="80"/>
              <w:left w:type="dxa" w:w="80"/>
              <w:bottom w:type="dxa" w:w="80"/>
              <w:right w:type="dxa" w:w="80"/>
            </w:tcMar>
          </w:tcPr>
          <w:p>
            <w:r>
              <w:rPr>
                <w:rFonts w:ascii="Arial" w:cs="Arial" w:eastAsia="Arial" w:hAnsi="Arial"/>
                <w:color w:val="FFFFFF"/>
                <w:sz w:val="20"/>
                <w:szCs w:val="20"/>
              </w:rPr>
              <w:t xml:space="preserve">AWS-Native Autonomous Cloud Governance</w:t>
            </w:r>
          </w:p>
        </w:tc>
      </w:tr>
      <w:tr>
        <w:tc>
          <w:tcPr>
            <w:tcW w:type="dxa" w:w="3276"/>
            <w:tcBorders>
              <w:top w:val="none" w:color="FFFFFF" w:sz="0"/>
              <w:left w:val="none" w:color="FFFFFF" w:sz="0"/>
              <w:bottom w:val="none" w:color="FFFFFF" w:sz="0"/>
              <w:right w:val="none" w:color="FFFFFF" w:sz="0"/>
            </w:tcBorders>
            <w:shd w:fill="111827" w:val="clear"/>
            <w:tcMar>
              <w:top w:type="dxa" w:w="80"/>
              <w:left w:type="dxa" w:w="180"/>
              <w:bottom w:type="dxa" w:w="80"/>
              <w:right w:type="dxa" w:w="80"/>
            </w:tcMar>
          </w:tcPr>
          <w:p>
            <w:r>
              <w:rPr>
                <w:rFonts w:ascii="Arial" w:cs="Arial" w:eastAsia="Arial" w:hAnsi="Arial"/>
                <w:b/>
                <w:bCs/>
                <w:color w:val="6B7280"/>
                <w:sz w:val="20"/>
                <w:szCs w:val="20"/>
              </w:rPr>
              <w:t xml:space="preserve">Theme</w:t>
            </w:r>
          </w:p>
        </w:tc>
        <w:tc>
          <w:tcPr>
            <w:tcW w:type="dxa" w:w="6084"/>
            <w:tcBorders>
              <w:top w:val="none" w:color="FFFFFF" w:sz="0"/>
              <w:left w:val="none" w:color="FFFFFF" w:sz="0"/>
              <w:bottom w:val="none" w:color="FFFFFF" w:sz="0"/>
              <w:right w:val="none" w:color="FFFFFF" w:sz="0"/>
            </w:tcBorders>
            <w:shd w:fill="111827" w:val="clear"/>
            <w:tcMar>
              <w:top w:type="dxa" w:w="80"/>
              <w:left w:type="dxa" w:w="80"/>
              <w:bottom w:type="dxa" w:w="80"/>
              <w:right w:type="dxa" w:w="80"/>
            </w:tcMar>
          </w:tcPr>
          <w:p>
            <w:r>
              <w:rPr>
                <w:rFonts w:ascii="Arial" w:cs="Arial" w:eastAsia="Arial" w:hAnsi="Arial"/>
                <w:color w:val="FFFFFF"/>
                <w:sz w:val="20"/>
                <w:szCs w:val="20"/>
              </w:rPr>
              <w:t xml:space="preserve">Glassmorphism 2.0 (2026 Refined)</w:t>
            </w:r>
          </w:p>
        </w:tc>
      </w:tr>
      <w:tr>
        <w:tc>
          <w:tcPr>
            <w:tcW w:type="dxa" w:w="3276"/>
            <w:tcBorders>
              <w:top w:val="none" w:color="FFFFFF" w:sz="0"/>
              <w:left w:val="none" w:color="FFFFFF" w:sz="0"/>
              <w:bottom w:val="none" w:color="FFFFFF" w:sz="0"/>
              <w:right w:val="none" w:color="FFFFFF" w:sz="0"/>
            </w:tcBorders>
            <w:shd w:fill="111827" w:val="clear"/>
            <w:tcMar>
              <w:top w:type="dxa" w:w="80"/>
              <w:left w:type="dxa" w:w="180"/>
              <w:bottom w:type="dxa" w:w="80"/>
              <w:right w:type="dxa" w:w="80"/>
            </w:tcMar>
          </w:tcPr>
          <w:p>
            <w:r>
              <w:rPr>
                <w:rFonts w:ascii="Arial" w:cs="Arial" w:eastAsia="Arial" w:hAnsi="Arial"/>
                <w:b/>
                <w:bCs/>
                <w:color w:val="6B7280"/>
                <w:sz w:val="20"/>
                <w:szCs w:val="20"/>
              </w:rPr>
              <w:t xml:space="preserve">Classification</w:t>
            </w:r>
          </w:p>
        </w:tc>
        <w:tc>
          <w:tcPr>
            <w:tcW w:type="dxa" w:w="6084"/>
            <w:tcBorders>
              <w:top w:val="none" w:color="FFFFFF" w:sz="0"/>
              <w:left w:val="none" w:color="FFFFFF" w:sz="0"/>
              <w:bottom w:val="none" w:color="FFFFFF" w:sz="0"/>
              <w:right w:val="none" w:color="FFFFFF" w:sz="0"/>
            </w:tcBorders>
            <w:shd w:fill="111827" w:val="clear"/>
            <w:tcMar>
              <w:top w:type="dxa" w:w="80"/>
              <w:left w:type="dxa" w:w="80"/>
              <w:bottom w:type="dxa" w:w="80"/>
              <w:right w:type="dxa" w:w="80"/>
            </w:tcMar>
          </w:tcPr>
          <w:p>
            <w:r>
              <w:rPr>
                <w:rFonts w:ascii="Arial" w:cs="Arial" w:eastAsia="Arial" w:hAnsi="Arial"/>
                <w:color w:val="FFFFFF"/>
                <w:sz w:val="20"/>
                <w:szCs w:val="20"/>
              </w:rPr>
              <w:t xml:space="preserve">Confidential — Internal Use Only</w:t>
            </w:r>
          </w:p>
        </w:tc>
      </w:tr>
    </w:tbl>
    <w:p>
      <w:pPr>
        <w:spacing w:after="800" w:before="0"/>
      </w:pPr>
    </w:p>
    <w:p>
      <w:pPr>
        <w:spacing w:after="0" w:before="0"/>
        <w:jc w:val="center"/>
      </w:pPr>
      <w:r>
        <w:rPr>
          <w:rFonts w:ascii="Arial" w:cs="Arial" w:eastAsia="Arial" w:hAnsi="Arial"/>
          <w:color w:val="6B7280"/>
          <w:sz w:val="18"/>
          <w:szCs w:val="18"/>
        </w:rPr>
        <w:t xml:space="preserve">CloudPulse Pro  ·  Unified Technical Reference  ·  v2.0  ·  CONFIDENTIAL</w:t>
      </w:r>
    </w:p>
    <w:p>
      <w:r>
        <w:br w:type="page"/>
      </w:r>
    </w:p>
    <w:p>
      <w:pPr>
        <w:sectPr>
          <w:pgSz w:w="12240" w:h="15840" w:orient="portrait"/>
          <w:pgMar w:top="1440" w:right="1440" w:bottom="1440" w:left="1440" w:header="708" w:footer="708" w:gutter="0"/>
          <w:pgNumType/>
          <w:docGrid w:linePitch="360"/>
        </w:sectPr>
      </w:pPr>
    </w:p>
    <w:p>
      <w:pPr>
        <w:spacing w:after="80" w:before="0"/>
      </w:pPr>
      <w:r>
        <w:rPr>
          <w:rFonts w:ascii="Arial" w:cs="Arial" w:eastAsia="Arial" w:hAnsi="Arial"/>
          <w:b/>
          <w:bCs/>
          <w:color w:val="0D1B3E"/>
          <w:sz w:val="36"/>
          <w:szCs w:val="36"/>
        </w:rPr>
        <w:t xml:space="preserve">Table of Contents</w:t>
      </w:r>
    </w:p>
    <w:p>
      <w:pPr>
        <w:pBdr>
          <w:bottom w:val="single" w:color="2563EB" w:sz="6" w:space="1"/>
        </w:pBdr>
        <w:spacing w:after="120" w:before="120"/>
      </w:pPr>
    </w:p>
    <w:p>
      <w:pPr>
        <w:spacing w:after="80" w:before="0"/>
      </w:pPr>
    </w:p>
    <w:p>
      <w:pPr>
        <w:tabs>
          <w:tab w:val="left" w:pos="800"/>
        </w:tabs>
        <w:spacing w:after="100" w:before="0"/>
      </w:pPr>
      <w:r>
        <w:rPr>
          <w:rFonts w:ascii="Arial" w:cs="Arial" w:eastAsia="Arial" w:hAnsi="Arial"/>
          <w:b/>
          <w:bCs/>
          <w:color w:val="0D1B3E"/>
          <w:sz w:val="23"/>
          <w:szCs w:val="23"/>
        </w:rPr>
        <w:t xml:space="preserve">PART I</w:t>
      </w:r>
      <w:r>
        <w:rPr>
          <w:rFonts w:ascii="Arial" w:cs="Arial" w:eastAsia="Arial" w:hAnsi="Arial"/>
          <w:b/>
          <w:bCs/>
          <w:color w:val="0D1B3E"/>
          <w:sz w:val="23"/>
          <w:szCs w:val="23"/>
        </w:rPr>
        <w:t xml:space="preserve">	Product Requirements Document (PRD)</w:t>
      </w:r>
    </w:p>
    <w:p>
      <w:pPr>
        <w:tabs>
          <w:tab w:val="left" w:pos="800"/>
        </w:tabs>
        <w:spacing w:after="60" w:before="0"/>
      </w:pPr>
      <w:r>
        <w:rPr>
          <w:rFonts w:ascii="Arial" w:cs="Arial" w:eastAsia="Arial" w:hAnsi="Arial"/>
          <w:b w:val="false"/>
          <w:bCs w:val="false"/>
          <w:color w:val="374151"/>
          <w:sz w:val="21"/>
          <w:szCs w:val="21"/>
        </w:rPr>
        <w:t xml:space="preserve">  1.</w:t>
      </w:r>
      <w:r>
        <w:rPr>
          <w:rFonts w:ascii="Arial" w:cs="Arial" w:eastAsia="Arial" w:hAnsi="Arial"/>
          <w:b w:val="false"/>
          <w:bCs w:val="false"/>
          <w:color w:val="374151"/>
          <w:sz w:val="21"/>
          <w:szCs w:val="21"/>
        </w:rPr>
        <w:t xml:space="preserve">	Executive Summary</w:t>
      </w:r>
    </w:p>
    <w:p>
      <w:pPr>
        <w:tabs>
          <w:tab w:val="left" w:pos="800"/>
        </w:tabs>
        <w:spacing w:after="60" w:before="0"/>
      </w:pPr>
      <w:r>
        <w:rPr>
          <w:rFonts w:ascii="Arial" w:cs="Arial" w:eastAsia="Arial" w:hAnsi="Arial"/>
          <w:b w:val="false"/>
          <w:bCs w:val="false"/>
          <w:color w:val="374151"/>
          <w:sz w:val="21"/>
          <w:szCs w:val="21"/>
        </w:rPr>
        <w:t xml:space="preserve">  2.</w:t>
      </w:r>
      <w:r>
        <w:rPr>
          <w:rFonts w:ascii="Arial" w:cs="Arial" w:eastAsia="Arial" w:hAnsi="Arial"/>
          <w:b w:val="false"/>
          <w:bCs w:val="false"/>
          <w:color w:val="374151"/>
          <w:sz w:val="21"/>
          <w:szCs w:val="21"/>
        </w:rPr>
        <w:t xml:space="preserve">	Target Audience</w:t>
      </w:r>
    </w:p>
    <w:p>
      <w:pPr>
        <w:tabs>
          <w:tab w:val="left" w:pos="800"/>
        </w:tabs>
        <w:spacing w:after="60" w:before="0"/>
      </w:pPr>
      <w:r>
        <w:rPr>
          <w:rFonts w:ascii="Arial" w:cs="Arial" w:eastAsia="Arial" w:hAnsi="Arial"/>
          <w:b w:val="false"/>
          <w:bCs w:val="false"/>
          <w:color w:val="374151"/>
          <w:sz w:val="21"/>
          <w:szCs w:val="21"/>
        </w:rPr>
        <w:t xml:space="preserve">  3.</w:t>
      </w:r>
      <w:r>
        <w:rPr>
          <w:rFonts w:ascii="Arial" w:cs="Arial" w:eastAsia="Arial" w:hAnsi="Arial"/>
          <w:b w:val="false"/>
          <w:bCs w:val="false"/>
          <w:color w:val="374151"/>
          <w:sz w:val="21"/>
          <w:szCs w:val="21"/>
        </w:rPr>
        <w:t xml:space="preserve">	Functional Requirements</w:t>
      </w:r>
    </w:p>
    <w:p>
      <w:pPr>
        <w:tabs>
          <w:tab w:val="left" w:pos="800"/>
        </w:tabs>
        <w:spacing w:after="60" w:before="0"/>
      </w:pPr>
      <w:r>
        <w:rPr>
          <w:rFonts w:ascii="Arial" w:cs="Arial" w:eastAsia="Arial" w:hAnsi="Arial"/>
          <w:b w:val="false"/>
          <w:bCs w:val="false"/>
          <w:color w:val="374151"/>
          <w:sz w:val="21"/>
          <w:szCs w:val="21"/>
        </w:rPr>
        <w:t xml:space="preserve">  4.</w:t>
      </w:r>
      <w:r>
        <w:rPr>
          <w:rFonts w:ascii="Arial" w:cs="Arial" w:eastAsia="Arial" w:hAnsi="Arial"/>
          <w:b w:val="false"/>
          <w:bCs w:val="false"/>
          <w:color w:val="374151"/>
          <w:sz w:val="21"/>
          <w:szCs w:val="21"/>
        </w:rPr>
        <w:t xml:space="preserve">	Non-Functional Requirements &amp; Security</w:t>
      </w:r>
    </w:p>
    <w:p>
      <w:pPr>
        <w:tabs>
          <w:tab w:val="left" w:pos="800"/>
        </w:tabs>
        <w:spacing w:after="60" w:before="0"/>
      </w:pPr>
      <w:r>
        <w:rPr>
          <w:rFonts w:ascii="Arial" w:cs="Arial" w:eastAsia="Arial" w:hAnsi="Arial"/>
          <w:b w:val="false"/>
          <w:bCs w:val="false"/>
          <w:color w:val="374151"/>
          <w:sz w:val="21"/>
          <w:szCs w:val="21"/>
        </w:rPr>
        <w:t xml:space="preserve">  5.</w:t>
      </w:r>
      <w:r>
        <w:rPr>
          <w:rFonts w:ascii="Arial" w:cs="Arial" w:eastAsia="Arial" w:hAnsi="Arial"/>
          <w:b w:val="false"/>
          <w:bCs w:val="false"/>
          <w:color w:val="374151"/>
          <w:sz w:val="21"/>
          <w:szCs w:val="21"/>
        </w:rPr>
        <w:t xml:space="preserve">	UI/UX Design Requirements</w:t>
      </w:r>
    </w:p>
    <w:p>
      <w:pPr>
        <w:tabs>
          <w:tab w:val="left" w:pos="800"/>
        </w:tabs>
        <w:spacing w:after="60" w:before="0"/>
      </w:pPr>
      <w:r>
        <w:rPr>
          <w:rFonts w:ascii="Arial" w:cs="Arial" w:eastAsia="Arial" w:hAnsi="Arial"/>
          <w:b w:val="false"/>
          <w:bCs w:val="false"/>
          <w:color w:val="374151"/>
          <w:sz w:val="21"/>
          <w:szCs w:val="21"/>
        </w:rPr>
        <w:t xml:space="preserve">  6.</w:t>
      </w:r>
      <w:r>
        <w:rPr>
          <w:rFonts w:ascii="Arial" w:cs="Arial" w:eastAsia="Arial" w:hAnsi="Arial"/>
          <w:b w:val="false"/>
          <w:bCs w:val="false"/>
          <w:color w:val="374151"/>
          <w:sz w:val="21"/>
          <w:szCs w:val="21"/>
        </w:rPr>
        <w:t xml:space="preserve">	Roadmap &amp; Sprint Plan</w:t>
      </w:r>
    </w:p>
    <w:p>
      <w:pPr>
        <w:tabs>
          <w:tab w:val="left" w:pos="800"/>
        </w:tabs>
        <w:spacing w:after="100" w:before="0"/>
      </w:pPr>
      <w:r>
        <w:rPr>
          <w:rFonts w:ascii="Arial" w:cs="Arial" w:eastAsia="Arial" w:hAnsi="Arial"/>
          <w:b/>
          <w:bCs/>
          <w:color w:val="0D1B3E"/>
          <w:sz w:val="23"/>
          <w:szCs w:val="23"/>
        </w:rPr>
        <w:t xml:space="preserve">PART II</w:t>
      </w:r>
      <w:r>
        <w:rPr>
          <w:rFonts w:ascii="Arial" w:cs="Arial" w:eastAsia="Arial" w:hAnsi="Arial"/>
          <w:b/>
          <w:bCs/>
          <w:color w:val="0D1B3E"/>
          <w:sz w:val="23"/>
          <w:szCs w:val="23"/>
        </w:rPr>
        <w:t xml:space="preserve">	Visual &amp; Design Specification</w:t>
      </w:r>
    </w:p>
    <w:p>
      <w:pPr>
        <w:tabs>
          <w:tab w:val="left" w:pos="800"/>
        </w:tabs>
        <w:spacing w:after="60" w:before="0"/>
      </w:pPr>
      <w:r>
        <w:rPr>
          <w:rFonts w:ascii="Arial" w:cs="Arial" w:eastAsia="Arial" w:hAnsi="Arial"/>
          <w:b w:val="false"/>
          <w:bCs w:val="false"/>
          <w:color w:val="374151"/>
          <w:sz w:val="21"/>
          <w:szCs w:val="21"/>
        </w:rPr>
        <w:t xml:space="preserve">  7.</w:t>
      </w:r>
      <w:r>
        <w:rPr>
          <w:rFonts w:ascii="Arial" w:cs="Arial" w:eastAsia="Arial" w:hAnsi="Arial"/>
          <w:b w:val="false"/>
          <w:bCs w:val="false"/>
          <w:color w:val="374151"/>
          <w:sz w:val="21"/>
          <w:szCs w:val="21"/>
        </w:rPr>
        <w:t xml:space="preserve">	Visual Identity &amp; Design System</w:t>
      </w:r>
    </w:p>
    <w:p>
      <w:pPr>
        <w:tabs>
          <w:tab w:val="left" w:pos="800"/>
        </w:tabs>
        <w:spacing w:after="60" w:before="0"/>
      </w:pPr>
      <w:r>
        <w:rPr>
          <w:rFonts w:ascii="Arial" w:cs="Arial" w:eastAsia="Arial" w:hAnsi="Arial"/>
          <w:b w:val="false"/>
          <w:bCs w:val="false"/>
          <w:color w:val="374151"/>
          <w:sz w:val="21"/>
          <w:szCs w:val="21"/>
        </w:rPr>
        <w:t xml:space="preserve">  8.</w:t>
      </w:r>
      <w:r>
        <w:rPr>
          <w:rFonts w:ascii="Arial" w:cs="Arial" w:eastAsia="Arial" w:hAnsi="Arial"/>
          <w:b w:val="false"/>
          <w:bCs w:val="false"/>
          <w:color w:val="374151"/>
          <w:sz w:val="21"/>
          <w:szCs w:val="21"/>
        </w:rPr>
        <w:t xml:space="preserve">	UI Component Design</w:t>
      </w:r>
    </w:p>
    <w:p>
      <w:pPr>
        <w:tabs>
          <w:tab w:val="left" w:pos="800"/>
        </w:tabs>
        <w:spacing w:after="60" w:before="0"/>
      </w:pPr>
      <w:r>
        <w:rPr>
          <w:rFonts w:ascii="Arial" w:cs="Arial" w:eastAsia="Arial" w:hAnsi="Arial"/>
          <w:b w:val="false"/>
          <w:bCs w:val="false"/>
          <w:color w:val="374151"/>
          <w:sz w:val="21"/>
          <w:szCs w:val="21"/>
        </w:rPr>
        <w:t xml:space="preserve">  9.</w:t>
      </w:r>
      <w:r>
        <w:rPr>
          <w:rFonts w:ascii="Arial" w:cs="Arial" w:eastAsia="Arial" w:hAnsi="Arial"/>
          <w:b w:val="false"/>
          <w:bCs w:val="false"/>
          <w:color w:val="374151"/>
          <w:sz w:val="21"/>
          <w:szCs w:val="21"/>
        </w:rPr>
        <w:t xml:space="preserve">	System Architecture Design</w:t>
      </w:r>
    </w:p>
    <w:p>
      <w:pPr>
        <w:tabs>
          <w:tab w:val="left" w:pos="800"/>
        </w:tabs>
        <w:spacing w:after="60" w:before="0"/>
      </w:pPr>
      <w:r>
        <w:rPr>
          <w:rFonts w:ascii="Arial" w:cs="Arial" w:eastAsia="Arial" w:hAnsi="Arial"/>
          <w:b w:val="false"/>
          <w:bCs w:val="false"/>
          <w:color w:val="374151"/>
          <w:sz w:val="21"/>
          <w:szCs w:val="21"/>
        </w:rPr>
        <w:t xml:space="preserve">  10.</w:t>
      </w:r>
      <w:r>
        <w:rPr>
          <w:rFonts w:ascii="Arial" w:cs="Arial" w:eastAsia="Arial" w:hAnsi="Arial"/>
          <w:b w:val="false"/>
          <w:bCs w:val="false"/>
          <w:color w:val="374151"/>
          <w:sz w:val="21"/>
          <w:szCs w:val="21"/>
        </w:rPr>
        <w:t xml:space="preserve">	Logical Data Flow</w:t>
      </w:r>
    </w:p>
    <w:p>
      <w:pPr>
        <w:tabs>
          <w:tab w:val="left" w:pos="800"/>
        </w:tabs>
        <w:spacing w:after="60" w:before="0"/>
      </w:pPr>
      <w:r>
        <w:rPr>
          <w:rFonts w:ascii="Arial" w:cs="Arial" w:eastAsia="Arial" w:hAnsi="Arial"/>
          <w:b w:val="false"/>
          <w:bCs w:val="false"/>
          <w:color w:val="374151"/>
          <w:sz w:val="21"/>
          <w:szCs w:val="21"/>
        </w:rPr>
        <w:t xml:space="preserve">  11.</w:t>
      </w:r>
      <w:r>
        <w:rPr>
          <w:rFonts w:ascii="Arial" w:cs="Arial" w:eastAsia="Arial" w:hAnsi="Arial"/>
          <w:b w:val="false"/>
          <w:bCs w:val="false"/>
          <w:color w:val="374151"/>
          <w:sz w:val="21"/>
          <w:szCs w:val="21"/>
        </w:rPr>
        <w:t xml:space="preserve">	Security &amp; Permission Design</w:t>
      </w:r>
    </w:p>
    <w:p>
      <w:pPr>
        <w:tabs>
          <w:tab w:val="left" w:pos="800"/>
        </w:tabs>
        <w:spacing w:after="100" w:before="0"/>
      </w:pPr>
      <w:r>
        <w:rPr>
          <w:rFonts w:ascii="Arial" w:cs="Arial" w:eastAsia="Arial" w:hAnsi="Arial"/>
          <w:b/>
          <w:bCs/>
          <w:color w:val="0D1B3E"/>
          <w:sz w:val="23"/>
          <w:szCs w:val="23"/>
        </w:rPr>
        <w:t xml:space="preserve">PART III</w:t>
      </w:r>
      <w:r>
        <w:rPr>
          <w:rFonts w:ascii="Arial" w:cs="Arial" w:eastAsia="Arial" w:hAnsi="Arial"/>
          <w:b/>
          <w:bCs/>
          <w:color w:val="0D1B3E"/>
          <w:sz w:val="23"/>
          <w:szCs w:val="23"/>
        </w:rPr>
        <w:t xml:space="preserve">	Technical Stack Reference</w:t>
      </w:r>
    </w:p>
    <w:p>
      <w:pPr>
        <w:tabs>
          <w:tab w:val="left" w:pos="800"/>
        </w:tabs>
        <w:spacing w:after="60" w:before="0"/>
      </w:pPr>
      <w:r>
        <w:rPr>
          <w:rFonts w:ascii="Arial" w:cs="Arial" w:eastAsia="Arial" w:hAnsi="Arial"/>
          <w:b w:val="false"/>
          <w:bCs w:val="false"/>
          <w:color w:val="374151"/>
          <w:sz w:val="21"/>
          <w:szCs w:val="21"/>
        </w:rPr>
        <w:t xml:space="preserve">  12.</w:t>
      </w:r>
      <w:r>
        <w:rPr>
          <w:rFonts w:ascii="Arial" w:cs="Arial" w:eastAsia="Arial" w:hAnsi="Arial"/>
          <w:b w:val="false"/>
          <w:bCs w:val="false"/>
          <w:color w:val="374151"/>
          <w:sz w:val="21"/>
          <w:szCs w:val="21"/>
        </w:rPr>
        <w:t xml:space="preserve">	Frontend Layer</w:t>
      </w:r>
    </w:p>
    <w:p>
      <w:pPr>
        <w:tabs>
          <w:tab w:val="left" w:pos="800"/>
        </w:tabs>
        <w:spacing w:after="60" w:before="0"/>
      </w:pPr>
      <w:r>
        <w:rPr>
          <w:rFonts w:ascii="Arial" w:cs="Arial" w:eastAsia="Arial" w:hAnsi="Arial"/>
          <w:b w:val="false"/>
          <w:bCs w:val="false"/>
          <w:color w:val="374151"/>
          <w:sz w:val="21"/>
          <w:szCs w:val="21"/>
        </w:rPr>
        <w:t xml:space="preserve">  13.</w:t>
      </w:r>
      <w:r>
        <w:rPr>
          <w:rFonts w:ascii="Arial" w:cs="Arial" w:eastAsia="Arial" w:hAnsi="Arial"/>
          <w:b w:val="false"/>
          <w:bCs w:val="false"/>
          <w:color w:val="374151"/>
          <w:sz w:val="21"/>
          <w:szCs w:val="21"/>
        </w:rPr>
        <w:t xml:space="preserve">	Backend Layer</w:t>
      </w:r>
    </w:p>
    <w:p>
      <w:pPr>
        <w:tabs>
          <w:tab w:val="left" w:pos="800"/>
        </w:tabs>
        <w:spacing w:after="60" w:before="0"/>
      </w:pPr>
      <w:r>
        <w:rPr>
          <w:rFonts w:ascii="Arial" w:cs="Arial" w:eastAsia="Arial" w:hAnsi="Arial"/>
          <w:b w:val="false"/>
          <w:bCs w:val="false"/>
          <w:color w:val="374151"/>
          <w:sz w:val="21"/>
          <w:szCs w:val="21"/>
        </w:rPr>
        <w:t xml:space="preserve">  14.</w:t>
      </w:r>
      <w:r>
        <w:rPr>
          <w:rFonts w:ascii="Arial" w:cs="Arial" w:eastAsia="Arial" w:hAnsi="Arial"/>
          <w:b w:val="false"/>
          <w:bCs w:val="false"/>
          <w:color w:val="374151"/>
          <w:sz w:val="21"/>
          <w:szCs w:val="21"/>
        </w:rPr>
        <w:t xml:space="preserve">	AI &amp; Automation Integration</w:t>
      </w:r>
    </w:p>
    <w:p>
      <w:pPr>
        <w:tabs>
          <w:tab w:val="left" w:pos="800"/>
        </w:tabs>
        <w:spacing w:after="60" w:before="0"/>
      </w:pPr>
      <w:r>
        <w:rPr>
          <w:rFonts w:ascii="Arial" w:cs="Arial" w:eastAsia="Arial" w:hAnsi="Arial"/>
          <w:b w:val="false"/>
          <w:bCs w:val="false"/>
          <w:color w:val="374151"/>
          <w:sz w:val="21"/>
          <w:szCs w:val="21"/>
        </w:rPr>
        <w:t xml:space="preserve">  15.</w:t>
      </w:r>
      <w:r>
        <w:rPr>
          <w:rFonts w:ascii="Arial" w:cs="Arial" w:eastAsia="Arial" w:hAnsi="Arial"/>
          <w:b w:val="false"/>
          <w:bCs w:val="false"/>
          <w:color w:val="374151"/>
          <w:sz w:val="21"/>
          <w:szCs w:val="21"/>
        </w:rPr>
        <w:t xml:space="preserve">	Infrastructure &amp; Security</w:t>
      </w:r>
    </w:p>
    <w:p>
      <w:pPr>
        <w:tabs>
          <w:tab w:val="left" w:pos="800"/>
        </w:tabs>
        <w:spacing w:after="60" w:before="0"/>
      </w:pPr>
      <w:r>
        <w:rPr>
          <w:rFonts w:ascii="Arial" w:cs="Arial" w:eastAsia="Arial" w:hAnsi="Arial"/>
          <w:b w:val="false"/>
          <w:bCs w:val="false"/>
          <w:color w:val="374151"/>
          <w:sz w:val="21"/>
          <w:szCs w:val="21"/>
        </w:rPr>
        <w:t xml:space="preserve">  16.</w:t>
      </w:r>
      <w:r>
        <w:rPr>
          <w:rFonts w:ascii="Arial" w:cs="Arial" w:eastAsia="Arial" w:hAnsi="Arial"/>
          <w:b w:val="false"/>
          <w:bCs w:val="false"/>
          <w:color w:val="374151"/>
          <w:sz w:val="21"/>
          <w:szCs w:val="21"/>
        </w:rPr>
        <w:t xml:space="preserve">	Project Structure &amp; Dev Setup</w:t>
      </w:r>
    </w:p>
    <w:p>
      <w:r>
        <w:br w:type="page"/>
      </w:r>
    </w:p>
    <w:p>
      <w:pPr>
        <w:shd w:fill="0D1B3E" w:val="clear"/>
        <w:spacing w:after="160" w:before="160"/>
        <w:ind w:left="120" w:right="120"/>
      </w:pPr>
      <w:r>
        <w:rPr>
          <w:rFonts w:ascii="Arial" w:cs="Arial" w:eastAsia="Arial" w:hAnsi="Arial"/>
          <w:b/>
          <w:bCs/>
          <w:color w:val="FFFFFF"/>
          <w:sz w:val="24"/>
          <w:szCs w:val="24"/>
        </w:rPr>
        <w:t xml:space="preserve">PART I — PRODUCT REQUIREMENTS DOCUMENT  (PRD V2.0)</w:t>
      </w:r>
    </w:p>
    <w:p>
      <w:pPr>
        <w:spacing w:after="160" w:before="0"/>
      </w:pPr>
    </w:p>
    <w:p>
      <w:pPr>
        <w:spacing w:after="60" w:before="0"/>
      </w:pPr>
      <w:r>
        <w:rPr>
          <w:rFonts w:ascii="Arial" w:cs="Arial" w:eastAsia="Arial" w:hAnsi="Arial"/>
          <w:b/>
          <w:bCs/>
          <w:color w:val="0D1B3E"/>
          <w:sz w:val="40"/>
          <w:szCs w:val="40"/>
        </w:rPr>
        <w:t xml:space="preserve">Product Requirements Document</w:t>
      </w:r>
    </w:p>
    <w:p>
      <w:pPr>
        <w:spacing w:after="160" w:before="0"/>
      </w:pPr>
      <w:r>
        <w:rPr>
          <w:rFonts w:ascii="Arial" w:cs="Arial" w:eastAsia="Arial" w:hAnsi="Arial"/>
          <w:i/>
          <w:iCs/>
          <w:color w:val="2563EB"/>
          <w:sz w:val="24"/>
          <w:szCs w:val="24"/>
        </w:rPr>
        <w:t xml:space="preserve">Autonomous AI FinOps &amp; Cloud Governance Platform — AWS Edition</w:t>
      </w:r>
    </w:p>
    <w:p>
      <w:pPr>
        <w:pBdr>
          <w:bottom w:val="single" w:color="2563EB" w:sz="4" w:space="1"/>
        </w:pBdr>
        <w:spacing w:after="120" w:before="120"/>
      </w:pPr>
    </w:p>
    <w:p>
      <w:pPr>
        <w:spacing w:after="80" w:before="0"/>
      </w:pPr>
    </w:p>
    <w:p>
      <w:pPr>
        <w:pStyle w:val="Heading1"/>
        <w:pBdr>
          <w:bottom w:val="single" w:color="2563EB" w:sz="6" w:space="2"/>
        </w:pBdr>
        <w:spacing w:after="120" w:before="320"/>
      </w:pPr>
      <w:r>
        <w:rPr>
          <w:rFonts w:ascii="Arial" w:cs="Arial" w:eastAsia="Arial" w:hAnsi="Arial"/>
          <w:b/>
          <w:bCs/>
          <w:color w:val="0D1B3E"/>
          <w:sz w:val="32"/>
          <w:szCs w:val="32"/>
        </w:rPr>
        <w:t xml:space="preserve">1.  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563EB" w:sz="12"/>
              <w:bottom w:val="none" w:color="FFFFFF" w:sz="0"/>
              <w:right w:val="none" w:color="FFFFFF" w:sz="0"/>
            </w:tcBorders>
            <w:shd w:fill="EFF6FF" w:val="clear"/>
            <w:tcMar>
              <w:top w:type="dxa" w:w="80"/>
              <w:left w:type="dxa" w:w="200"/>
              <w:bottom w:type="dxa" w:w="40"/>
              <w:right w:type="dxa" w:w="120"/>
            </w:tcMar>
          </w:tcPr>
          <w:p>
            <w:r>
              <w:rPr>
                <w:rFonts w:ascii="Arial" w:cs="Arial" w:eastAsia="Arial" w:hAnsi="Arial"/>
                <w:b/>
                <w:bCs/>
                <w:color w:val="0D1B3E"/>
                <w:sz w:val="22"/>
                <w:szCs w:val="22"/>
              </w:rPr>
              <w:t xml:space="preserve">CloudPulse Pro</w:t>
            </w:r>
          </w:p>
        </w:tc>
      </w:tr>
      <w:tr>
        <w:tc>
          <w:tcPr>
            <w:tcW w:type="dxa" w:w="9360"/>
            <w:tcBorders>
              <w:top w:val="none" w:color="FFFFFF" w:sz="0"/>
              <w:left w:val="single" w:color="2563EB" w:sz="12"/>
              <w:bottom w:val="none" w:color="FFFFFF" w:sz="0"/>
              <w:right w:val="none" w:color="FFFFFF" w:sz="0"/>
            </w:tcBorders>
            <w:shd w:fill="EFF6FF" w:val="clear"/>
            <w:tcMar>
              <w:top w:type="dxa" w:w="20"/>
              <w:left w:type="dxa" w:w="200"/>
              <w:bottom w:type="dxa" w:w="100"/>
              <w:right w:type="dxa" w:w="120"/>
            </w:tcMar>
          </w:tcPr>
          <w:p>
            <w:r>
              <w:rPr>
                <w:rFonts w:ascii="Arial" w:cs="Arial" w:eastAsia="Arial" w:hAnsi="Arial"/>
                <w:color w:val="374151"/>
                <w:sz w:val="22"/>
                <w:szCs w:val="22"/>
              </w:rPr>
              <w:t xml:space="preserve">An autonomous B2B SaaS platform designed to bridge the gap between cloud financial management (FinOps) and security governance. By leveraging AI-driven agents, the platform identifies cost-leakage, security vulnerabilities, and carbon inefficiencies — providing Zero-Touch autonomous remediation via Infrastructure-as-Code (Terraform).</w:t>
            </w:r>
          </w:p>
        </w:tc>
      </w:tr>
    </w:tbl>
    <w:p>
      <w:pPr>
        <w:spacing w:after="160" w:before="0"/>
      </w:pPr>
    </w:p>
    <w:p>
      <w:pPr>
        <w:pStyle w:val="Heading1"/>
        <w:pBdr>
          <w:bottom w:val="single" w:color="2563EB" w:sz="6" w:space="2"/>
        </w:pBdr>
        <w:spacing w:after="120" w:before="320"/>
      </w:pPr>
      <w:r>
        <w:rPr>
          <w:rFonts w:ascii="Arial" w:cs="Arial" w:eastAsia="Arial" w:hAnsi="Arial"/>
          <w:b/>
          <w:bCs/>
          <w:color w:val="0D1B3E"/>
          <w:sz w:val="32"/>
          <w:szCs w:val="32"/>
        </w:rPr>
        <w:t xml:space="preserve">2.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Persona</w:t>
            </w:r>
          </w:p>
        </w:tc>
        <w:tc>
          <w:tcPr>
            <w:tcW w:type="dxa" w:w="3650"/>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Need</w:t>
            </w:r>
          </w:p>
        </w:tc>
        <w:tc>
          <w:tcPr>
            <w:tcW w:type="dxa" w:w="3650"/>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Feature Used</w:t>
            </w:r>
          </w:p>
        </w:tc>
      </w:tr>
      <w:tr>
        <w:tc>
          <w:tcPr>
            <w:tcW w:type="dxa" w:w="205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DevOps / SRE Teams</w:t>
            </w:r>
          </w:p>
        </w:tc>
        <w:tc>
          <w:tcPr>
            <w:tcW w:type="dxa" w:w="36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Automate cleanup of Zombie Resources (idle EC2, unattached EBS, orphaned RDS snapshots)</w:t>
            </w:r>
          </w:p>
        </w:tc>
        <w:tc>
          <w:tcPr>
            <w:tcW w:type="dxa" w:w="36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Zombie Resource Hunter + AI Remediation Engine</w:t>
            </w:r>
          </w:p>
        </w:tc>
      </w:tr>
      <w:tr>
        <w:tc>
          <w:tcPr>
            <w:tcW w:type="dxa" w:w="205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CTOs / Finance Leads</w:t>
            </w:r>
          </w:p>
        </w:tc>
        <w:tc>
          <w:tcPr>
            <w:tcW w:type="dxa" w:w="365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Real-time visibility into AWS spend and ROI with actionable savings recommendations</w:t>
            </w:r>
          </w:p>
        </w:tc>
        <w:tc>
          <w:tcPr>
            <w:tcW w:type="dxa" w:w="365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Cost Explorer Integration + Savings Recommender</w:t>
            </w:r>
          </w:p>
        </w:tc>
      </w:tr>
      <w:tr>
        <w:tc>
          <w:tcPr>
            <w:tcW w:type="dxa" w:w="205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Security Engineers</w:t>
            </w:r>
          </w:p>
        </w:tc>
        <w:tc>
          <w:tcPr>
            <w:tcW w:type="dxa" w:w="36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Maintain a high Compliance Index through automated posture management and audit trails</w:t>
            </w:r>
          </w:p>
        </w:tc>
        <w:tc>
          <w:tcPr>
            <w:tcW w:type="dxa" w:w="365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Compliance Index Dashboard + Security Group Auditor</w:t>
            </w:r>
          </w:p>
        </w:tc>
      </w:tr>
    </w:tbl>
    <w:p>
      <w:pPr>
        <w:spacing w:after="160" w:before="0"/>
      </w:pPr>
    </w:p>
    <w:p>
      <w:pPr>
        <w:pStyle w:val="Heading1"/>
        <w:pBdr>
          <w:bottom w:val="single" w:color="2563EB" w:sz="6" w:space="2"/>
        </w:pBdr>
        <w:spacing w:after="120" w:before="320"/>
      </w:pPr>
      <w:r>
        <w:rPr>
          <w:rFonts w:ascii="Arial" w:cs="Arial" w:eastAsia="Arial" w:hAnsi="Arial"/>
          <w:b/>
          <w:bCs/>
          <w:color w:val="0D1B3E"/>
          <w:sz w:val="32"/>
          <w:szCs w:val="32"/>
        </w:rPr>
        <w:t xml:space="preserve">3.  Functional Requirements</w:t>
      </w:r>
    </w:p>
    <w:p>
      <w:pPr>
        <w:pStyle w:val="Heading2"/>
        <w:spacing w:after="80" w:before="240"/>
      </w:pPr>
      <w:r>
        <w:rPr>
          <w:rFonts w:ascii="Arial" w:cs="Arial" w:eastAsia="Arial" w:hAnsi="Arial"/>
          <w:b/>
          <w:bCs/>
          <w:color w:val="2563EB"/>
          <w:sz w:val="26"/>
          <w:szCs w:val="26"/>
        </w:rPr>
        <w:t xml:space="preserve">3.1  FinOps &amp; Cost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FR-1</w:t>
            </w:r>
          </w:p>
        </w:tc>
        <w:tc>
          <w:tcPr>
            <w:tcW w:type="dxa" w:w="8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Zombie Resource Hunter: Automated scanning for unattached EBS volumes, idle ALBs, and orphaned RDS snapshots using Boto3 queries against AWS EC2, ELB, and RDS APIs.</w:t>
            </w:r>
          </w:p>
        </w:tc>
      </w:tr>
      <w:tr>
        <w:tc>
          <w:tcPr>
            <w:tcW w:type="dxa" w:w="1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FR-2</w:t>
            </w:r>
          </w:p>
        </w:tc>
        <w:tc>
          <w:tcPr>
            <w:tcW w:type="dxa" w:w="8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Cost Explorer Integration: Pull daily and monthly granular spend data via the AWS Cost Explorer API (ce). Visualize spend trends with Recharts/Tremor on the dashboard.</w:t>
            </w:r>
          </w:p>
        </w:tc>
      </w:tr>
      <w:tr>
        <w:tc>
          <w:tcPr>
            <w:tcW w:type="dxa" w:w="1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FR-3</w:t>
            </w:r>
          </w:p>
        </w:tc>
        <w:tc>
          <w:tcPr>
            <w:tcW w:type="dxa" w:w="8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Savings Recommendations: Logic engine to suggest switching idle On-Demand instances to Spot or Reserved Instances, with projected monthly savings estimates.</w:t>
            </w:r>
          </w:p>
        </w:tc>
      </w:tr>
    </w:tbl>
    <w:p>
      <w:pPr>
        <w:spacing w:after="160" w:before="0"/>
      </w:pPr>
    </w:p>
    <w:p>
      <w:pPr>
        <w:pStyle w:val="Heading2"/>
        <w:spacing w:after="80" w:before="240"/>
      </w:pPr>
      <w:r>
        <w:rPr>
          <w:rFonts w:ascii="Arial" w:cs="Arial" w:eastAsia="Arial" w:hAnsi="Arial"/>
          <w:b/>
          <w:bCs/>
          <w:color w:val="2563EB"/>
          <w:sz w:val="26"/>
          <w:szCs w:val="26"/>
        </w:rPr>
        <w:t xml:space="preserve">3.2  Autonomous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FR-4</w:t>
            </w:r>
          </w:p>
        </w:tc>
        <w:tc>
          <w:tcPr>
            <w:tcW w:type="dxa" w:w="8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Live Compliance Index: A real-time score (0-100%) calculated from security posture indicators: S3 bucket encryption status, MFA enforcement, public access blocks, and more.</w:t>
            </w:r>
          </w:p>
        </w:tc>
      </w:tr>
      <w:tr>
        <w:tc>
          <w:tcPr>
            <w:tcW w:type="dxa" w:w="1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FR-5</w:t>
            </w:r>
          </w:p>
        </w:tc>
        <w:tc>
          <w:tcPr>
            <w:tcW w:type="dxa" w:w="8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Security Group Auditing: Detection and flagging of overly permissive rules — specifically Port 22 (SSH) and Port 3389 (RDP) open to 0.0.0.0/0.</w:t>
            </w:r>
          </w:p>
        </w:tc>
      </w:tr>
      <w:tr>
        <w:tc>
          <w:tcPr>
            <w:tcW w:type="dxa" w:w="1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FR-6</w:t>
            </w:r>
          </w:p>
        </w:tc>
        <w:tc>
          <w:tcPr>
            <w:tcW w:type="dxa" w:w="8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 Remediation Engine: LangChain-powered agent that generates production-grade Terraform scripts to fix detected security risks. One-click staged deployment with human approval gate.</w:t>
            </w:r>
          </w:p>
        </w:tc>
      </w:tr>
    </w:tbl>
    <w:p>
      <w:pPr>
        <w:spacing w:after="160" w:before="0"/>
      </w:pPr>
    </w:p>
    <w:p>
      <w:pPr>
        <w:pStyle w:val="Heading2"/>
        <w:spacing w:after="80" w:before="240"/>
      </w:pPr>
      <w:r>
        <w:rPr>
          <w:rFonts w:ascii="Arial" w:cs="Arial" w:eastAsia="Arial" w:hAnsi="Arial"/>
          <w:b/>
          <w:bCs/>
          <w:color w:val="2563EB"/>
          <w:sz w:val="26"/>
          <w:szCs w:val="26"/>
        </w:rPr>
        <w:t xml:space="preserve">3.3  GreenOps (Sustainability)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FR-7</w:t>
            </w:r>
          </w:p>
        </w:tc>
        <w:tc>
          <w:tcPr>
            <w:tcW w:type="dxa" w:w="8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Carbon Tracker: Estimate the carbon footprint of AWS resources based on region, instance type, and utilization metrics sourced from AWS CloudWatch.</w:t>
            </w:r>
          </w:p>
        </w:tc>
      </w:tr>
      <w:tr>
        <w:tc>
          <w:tcPr>
            <w:tcW w:type="dxa" w:w="1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FR-8</w:t>
            </w:r>
          </w:p>
        </w:tc>
        <w:tc>
          <w:tcPr>
            <w:tcW w:type="dxa" w:w="8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Regional Arbitrage: Suggest migration of non-critical workloads to Green Regions (lower carbon intensity per kWh) with automated migration cost-benefit analysis.</w:t>
            </w:r>
          </w:p>
        </w:tc>
      </w:tr>
    </w:tbl>
    <w:p>
      <w:pPr>
        <w:spacing w:after="160" w:before="0"/>
      </w:pPr>
    </w:p>
    <w:p>
      <w:pPr>
        <w:pStyle w:val="Heading1"/>
        <w:pBdr>
          <w:bottom w:val="single" w:color="2563EB" w:sz="6" w:space="2"/>
        </w:pBdr>
        <w:spacing w:after="120" w:before="320"/>
      </w:pPr>
      <w:r>
        <w:rPr>
          <w:rFonts w:ascii="Arial" w:cs="Arial" w:eastAsia="Arial" w:hAnsi="Arial"/>
          <w:b/>
          <w:bCs/>
          <w:color w:val="0D1B3E"/>
          <w:sz w:val="32"/>
          <w:szCs w:val="32"/>
        </w:rPr>
        <w:t xml:space="preserve">4.  Non-Functional Requirements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2059"/>
        <w:gridCol w:w="5897"/>
      </w:tblGrid>
      <w:tr>
        <w:trPr>
          <w:tblHeader/>
        </w:trPr>
        <w:tc>
          <w:tcPr>
            <w:tcW w:type="dxa" w:w="1404"/>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NFR</w:t>
            </w:r>
          </w:p>
        </w:tc>
        <w:tc>
          <w:tcPr>
            <w:tcW w:type="dxa" w:w="2059"/>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5897"/>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140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Security</w:t>
            </w:r>
          </w:p>
        </w:tc>
        <w:tc>
          <w:tcPr>
            <w:tcW w:type="dxa" w:w="205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IAM Least Privilege</w:t>
            </w:r>
          </w:p>
        </w:tc>
        <w:tc>
          <w:tcPr>
            <w:tcW w:type="dxa" w:w="589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App operates via dedicated IAM Role: ReadOnlyAccess for scanning; scoped Write permissions via temporary STS token for remediation only.</w:t>
            </w:r>
          </w:p>
        </w:tc>
      </w:tr>
      <w:tr>
        <w:tc>
          <w:tcPr>
            <w:tcW w:type="dxa" w:w="140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Encryption</w:t>
            </w:r>
          </w:p>
        </w:tc>
        <w:tc>
          <w:tcPr>
            <w:tcW w:type="dxa" w:w="205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AES-256 at Rest</w:t>
            </w:r>
          </w:p>
        </w:tc>
        <w:tc>
          <w:tcPr>
            <w:tcW w:type="dxa" w:w="5897"/>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All user-stored AWS credentials and metadata encrypted at rest using AES-256. KMS-managed keys.</w:t>
            </w:r>
          </w:p>
        </w:tc>
      </w:tr>
      <w:tr>
        <w:tc>
          <w:tcPr>
            <w:tcW w:type="dxa" w:w="140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Compliance</w:t>
            </w:r>
          </w:p>
        </w:tc>
        <w:tc>
          <w:tcPr>
            <w:tcW w:type="dxa" w:w="205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GDPR / SOC 2</w:t>
            </w:r>
          </w:p>
        </w:tc>
        <w:tc>
          <w:tcPr>
            <w:tcW w:type="dxa" w:w="589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PII handling follows GDPR guidelines. Audit logs immutable and timestamped.</w:t>
            </w:r>
          </w:p>
        </w:tc>
      </w:tr>
      <w:tr>
        <w:tc>
          <w:tcPr>
            <w:tcW w:type="dxa" w:w="140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Reliability</w:t>
            </w:r>
          </w:p>
        </w:tc>
        <w:tc>
          <w:tcPr>
            <w:tcW w:type="dxa" w:w="205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CAPTCHA &amp; 403 Handling</w:t>
            </w:r>
          </w:p>
        </w:tc>
        <w:tc>
          <w:tcPr>
            <w:tcW w:type="dxa" w:w="5897"/>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Scraper workers implement exponential backoff and proxy rotation to handle 403 Forbidden responses.</w:t>
            </w:r>
          </w:p>
        </w:tc>
      </w:tr>
      <w:tr>
        <w:tc>
          <w:tcPr>
            <w:tcW w:type="dxa" w:w="140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Scalability</w:t>
            </w:r>
          </w:p>
        </w:tc>
        <w:tc>
          <w:tcPr>
            <w:tcW w:type="dxa" w:w="205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Independent Worker Scaling</w:t>
            </w:r>
          </w:p>
        </w:tc>
        <w:tc>
          <w:tcPr>
            <w:tcW w:type="dxa" w:w="589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AI, scraper, and heuristic workers are containerized and scale independently of the web server.</w:t>
            </w:r>
          </w:p>
        </w:tc>
      </w:tr>
    </w:tbl>
    <w:p>
      <w:pPr>
        <w:spacing w:after="160" w:before="0"/>
      </w:pPr>
    </w:p>
    <w:p>
      <w:pPr>
        <w:pStyle w:val="Heading1"/>
        <w:pBdr>
          <w:bottom w:val="single" w:color="2563EB" w:sz="6" w:space="2"/>
        </w:pBdr>
        <w:spacing w:after="120" w:before="320"/>
      </w:pPr>
      <w:r>
        <w:rPr>
          <w:rFonts w:ascii="Arial" w:cs="Arial" w:eastAsia="Arial" w:hAnsi="Arial"/>
          <w:b/>
          <w:bCs/>
          <w:color w:val="0D1B3E"/>
          <w:sz w:val="32"/>
          <w:szCs w:val="32"/>
        </w:rPr>
        <w:t xml:space="preserve">5.  UI/UX Design Requirements</w:t>
      </w:r>
    </w:p>
    <w:p>
      <w:pPr>
        <w:spacing w:after="120" w:before="0"/>
      </w:pPr>
      <w:r>
        <w:rPr>
          <w:rFonts w:ascii="Arial" w:cs="Arial" w:eastAsia="Arial" w:hAnsi="Arial"/>
          <w:color w:val="374151"/>
          <w:sz w:val="22"/>
          <w:szCs w:val="22"/>
        </w:rPr>
        <w:t xml:space="preserve">The interface must maintain a high-end, production-grade aesthetic consistent with the original project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6739"/>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62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Design Language</w:t>
            </w:r>
          </w:p>
        </w:tc>
        <w:tc>
          <w:tcPr>
            <w:tcW w:type="dxa" w:w="673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Glassmorphism 2.0 — frosted glass containers, depth layers, vibrant gradients on dark base.</w:t>
            </w:r>
          </w:p>
        </w:tc>
      </w:tr>
      <w:tr>
        <w:tc>
          <w:tcPr>
            <w:tcW w:type="dxa" w:w="262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Primary Background</w:t>
            </w:r>
          </w:p>
        </w:tc>
        <w:tc>
          <w:tcPr>
            <w:tcW w:type="dxa" w:w="673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#0a0a0c — deep obsidian for maximum contrast in dark mode.</w:t>
            </w:r>
          </w:p>
        </w:tc>
      </w:tr>
      <w:tr>
        <w:tc>
          <w:tcPr>
            <w:tcW w:type="dxa" w:w="262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Glass Surface</w:t>
            </w:r>
          </w:p>
        </w:tc>
        <w:tc>
          <w:tcPr>
            <w:tcW w:type="dxa" w:w="673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rgba(255,255,255,0.05) — semi-transparent frosted overlay on cards.</w:t>
            </w:r>
          </w:p>
        </w:tc>
      </w:tr>
      <w:tr>
        <w:tc>
          <w:tcPr>
            <w:tcW w:type="dxa" w:w="262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Default Mode</w:t>
            </w:r>
          </w:p>
        </w:tc>
        <w:tc>
          <w:tcPr>
            <w:tcW w:type="dxa" w:w="673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Dark Mode. No light mode toggle required in v2.0.</w:t>
            </w:r>
          </w:p>
        </w:tc>
      </w:tr>
      <w:tr>
        <w:tc>
          <w:tcPr>
            <w:tcW w:type="dxa" w:w="262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Status Indicators</w:t>
            </w:r>
          </w:p>
        </w:tc>
        <w:tc>
          <w:tcPr>
            <w:tcW w:type="dxa" w:w="673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Green + pulse animation for Active; Red (#ef4444) for Critical Risk; Purple (#a855f7) for AI/Autopilot actions.</w:t>
            </w:r>
          </w:p>
        </w:tc>
      </w:tr>
      <w:tr>
        <w:tc>
          <w:tcPr>
            <w:tcW w:type="dxa" w:w="262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Navigation</w:t>
            </w:r>
          </w:p>
        </w:tc>
        <w:tc>
          <w:tcPr>
            <w:tcW w:type="dxa" w:w="673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Persistent sidebar: Dashboard, Autopilot, Governance, GreenOps, Settings.</w:t>
            </w:r>
          </w:p>
        </w:tc>
      </w:tr>
      <w:tr>
        <w:tc>
          <w:tcPr>
            <w:tcW w:type="dxa" w:w="262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Animations</w:t>
            </w:r>
          </w:p>
        </w:tc>
        <w:tc>
          <w:tcPr>
            <w:tcW w:type="dxa" w:w="673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Framer Motion for smooth transitions, card entry, and glow pulse effects.</w:t>
            </w:r>
          </w:p>
        </w:tc>
      </w:tr>
    </w:tbl>
    <w:p>
      <w:pPr>
        <w:spacing w:after="160" w:before="0"/>
      </w:pPr>
    </w:p>
    <w:p>
      <w:pPr>
        <w:pStyle w:val="Heading1"/>
        <w:pBdr>
          <w:bottom w:val="single" w:color="2563EB" w:sz="6" w:space="2"/>
        </w:pBdr>
        <w:spacing w:after="120" w:before="320"/>
      </w:pPr>
      <w:r>
        <w:rPr>
          <w:rFonts w:ascii="Arial" w:cs="Arial" w:eastAsia="Arial" w:hAnsi="Arial"/>
          <w:b/>
          <w:bCs/>
          <w:color w:val="0D1B3E"/>
          <w:sz w:val="32"/>
          <w:szCs w:val="32"/>
        </w:rPr>
        <w:t xml:space="preserve">6.  Roadmap &amp; 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17"/>
        <w:gridCol w:w="1872"/>
        <w:gridCol w:w="6271"/>
      </w:tblGrid>
      <w:tr>
        <w:trPr>
          <w:tblHeader/>
        </w:trPr>
        <w:tc>
          <w:tcPr>
            <w:tcW w:type="dxa" w:w="1217"/>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1872"/>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6271"/>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Deliverables</w:t>
            </w:r>
          </w:p>
        </w:tc>
      </w:tr>
      <w:tr>
        <w:tc>
          <w:tcPr>
            <w:tcW w:type="dxa" w:w="121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Sprint 1</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Foundation</w:t>
            </w:r>
          </w:p>
        </w:tc>
        <w:tc>
          <w:tcPr>
            <w:tcW w:type="dxa" w:w="627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Next.js 14 boilerplate, Glassmorphism component library, Tailwind design tokens, landing page + auth flows.</w:t>
            </w:r>
          </w:p>
        </w:tc>
      </w:tr>
      <w:tr>
        <w:tc>
          <w:tcPr>
            <w:tcW w:type="dxa" w:w="1217"/>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Sprint 2</w:t>
            </w:r>
          </w:p>
        </w:tc>
        <w:tc>
          <w:tcPr>
            <w:tcW w:type="dxa" w:w="187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Data Collection</w:t>
            </w:r>
          </w:p>
        </w:tc>
        <w:tc>
          <w:tcPr>
            <w:tcW w:type="dxa" w:w="627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Boto3 integration for Zombie Resource detection — EBS volumes, ELB request metrics, RDS snapshot age checks.</w:t>
            </w:r>
          </w:p>
        </w:tc>
      </w:tr>
      <w:tr>
        <w:tc>
          <w:tcPr>
            <w:tcW w:type="dxa" w:w="121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Sprint 3</w:t>
            </w:r>
          </w:p>
        </w:tc>
        <w:tc>
          <w:tcPr>
            <w:tcW w:type="dxa" w:w="187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AI Engine</w:t>
            </w:r>
          </w:p>
        </w:tc>
        <w:tc>
          <w:tcPr>
            <w:tcW w:type="dxa" w:w="627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LangChain agent for Terraform script generation. Heuristic scoring engine. AI Recommendations dashboard.</w:t>
            </w:r>
          </w:p>
        </w:tc>
      </w:tr>
      <w:tr>
        <w:tc>
          <w:tcPr>
            <w:tcW w:type="dxa" w:w="1217"/>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Sprint 4</w:t>
            </w:r>
          </w:p>
        </w:tc>
        <w:tc>
          <w:tcPr>
            <w:tcW w:type="dxa" w:w="187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Governance + GreenOps</w:t>
            </w:r>
          </w:p>
        </w:tc>
        <w:tc>
          <w:tcPr>
            <w:tcW w:type="dxa" w:w="627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Compliance Index gauge, Security Group auditor, Carbon Tracker cards, Regional Arbitrage suggestions.</w:t>
            </w:r>
          </w:p>
        </w:tc>
      </w:tr>
    </w:tbl>
    <w:p>
      <w:r>
        <w:br w:type="page"/>
      </w:r>
    </w:p>
    <w:p>
      <w:pPr>
        <w:shd w:fill="0D1B3E" w:val="clear"/>
        <w:spacing w:after="160" w:before="160"/>
        <w:ind w:left="120" w:right="120"/>
      </w:pPr>
      <w:r>
        <w:rPr>
          <w:rFonts w:ascii="Arial" w:cs="Arial" w:eastAsia="Arial" w:hAnsi="Arial"/>
          <w:b/>
          <w:bCs/>
          <w:color w:val="FFFFFF"/>
          <w:sz w:val="24"/>
          <w:szCs w:val="24"/>
        </w:rPr>
        <w:t xml:space="preserve">PART II — VISUAL &amp; DESIGN SPECIFICATION  (DESIGN SPEC V1.0)</w:t>
      </w:r>
    </w:p>
    <w:p>
      <w:pPr>
        <w:spacing w:after="160" w:before="0"/>
      </w:pPr>
    </w:p>
    <w:p>
      <w:pPr>
        <w:spacing w:after="60" w:before="0"/>
      </w:pPr>
      <w:r>
        <w:rPr>
          <w:rFonts w:ascii="Arial" w:cs="Arial" w:eastAsia="Arial" w:hAnsi="Arial"/>
          <w:b/>
          <w:bCs/>
          <w:color w:val="0D1B3E"/>
          <w:sz w:val="40"/>
          <w:szCs w:val="40"/>
        </w:rPr>
        <w:t xml:space="preserve">Design Specification Document</w:t>
      </w:r>
    </w:p>
    <w:p>
      <w:pPr>
        <w:spacing w:after="160" w:before="0"/>
      </w:pPr>
      <w:r>
        <w:rPr>
          <w:rFonts w:ascii="Arial" w:cs="Arial" w:eastAsia="Arial" w:hAnsi="Arial"/>
          <w:i/>
          <w:iCs/>
          <w:color w:val="7C3AED"/>
          <w:sz w:val="24"/>
          <w:szCs w:val="24"/>
        </w:rPr>
        <w:t xml:space="preserve">Visual &amp; Structural Blueprint  ·  Glassmorphism 2.0 (2026 Refined)</w:t>
      </w:r>
    </w:p>
    <w:p>
      <w:pPr>
        <w:pBdr>
          <w:bottom w:val="single" w:color="7C3AED" w:sz="4" w:space="1"/>
        </w:pBdr>
        <w:spacing w:after="120" w:before="120"/>
      </w:pPr>
    </w:p>
    <w:p>
      <w:pPr>
        <w:spacing w:after="80" w:before="0"/>
      </w:pPr>
    </w:p>
    <w:p>
      <w:pPr>
        <w:pStyle w:val="Heading1"/>
        <w:pBdr>
          <w:bottom w:val="single" w:color="2563EB" w:sz="6" w:space="2"/>
        </w:pBdr>
        <w:spacing w:after="120" w:before="320"/>
      </w:pPr>
      <w:r>
        <w:rPr>
          <w:rFonts w:ascii="Arial" w:cs="Arial" w:eastAsia="Arial" w:hAnsi="Arial"/>
          <w:b/>
          <w:bCs/>
          <w:color w:val="0D1B3E"/>
          <w:sz w:val="32"/>
          <w:szCs w:val="32"/>
        </w:rPr>
        <w:t xml:space="preserve">7.  Visual Identity &amp; Design System</w:t>
      </w:r>
    </w:p>
    <w:p>
      <w:pPr>
        <w:pStyle w:val="Heading2"/>
        <w:spacing w:after="80" w:before="240"/>
      </w:pPr>
      <w:r>
        <w:rPr>
          <w:rFonts w:ascii="Arial" w:cs="Arial" w:eastAsia="Arial" w:hAnsi="Arial"/>
          <w:b/>
          <w:bCs/>
          <w:color w:val="2563EB"/>
          <w:sz w:val="26"/>
          <w:szCs w:val="26"/>
        </w:rPr>
        <w:t xml:space="preserve">7.1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059"/>
        <w:gridCol w:w="5242"/>
      </w:tblGrid>
      <w:tr>
        <w:trPr>
          <w:tblHeader/>
        </w:trPr>
        <w:tc>
          <w:tcPr>
            <w:tcW w:type="dxa" w:w="2059"/>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2059"/>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Hex Code</w:t>
            </w:r>
          </w:p>
        </w:tc>
        <w:tc>
          <w:tcPr>
            <w:tcW w:type="dxa" w:w="5242"/>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05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Primary Background</w:t>
            </w:r>
          </w:p>
        </w:tc>
        <w:tc>
          <w:tcPr>
            <w:tcW w:type="dxa" w:w="205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#0a0a0c</w:t>
            </w:r>
          </w:p>
        </w:tc>
        <w:tc>
          <w:tcPr>
            <w:tcW w:type="dxa" w:w="524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Deep obsidian base for high-contrast dark mode.</w:t>
            </w:r>
          </w:p>
        </w:tc>
      </w:tr>
      <w:tr>
        <w:tc>
          <w:tcPr>
            <w:tcW w:type="dxa" w:w="205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Glass Surface</w:t>
            </w:r>
          </w:p>
        </w:tc>
        <w:tc>
          <w:tcPr>
            <w:tcW w:type="dxa" w:w="205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rgba(255,255,255,0.05)</w:t>
            </w:r>
          </w:p>
        </w:tc>
        <w:tc>
          <w:tcPr>
            <w:tcW w:type="dxa" w:w="524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Semi-transparent frosted layer over all cards.</w:t>
            </w:r>
          </w:p>
        </w:tc>
      </w:tr>
      <w:tr>
        <w:tc>
          <w:tcPr>
            <w:tcW w:type="dxa" w:w="205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Accent Primary</w:t>
            </w:r>
          </w:p>
        </w:tc>
        <w:tc>
          <w:tcPr>
            <w:tcW w:type="dxa" w:w="205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#3b82f6 (Blue)</w:t>
            </w:r>
          </w:p>
        </w:tc>
        <w:tc>
          <w:tcPr>
            <w:tcW w:type="dxa" w:w="524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AWS resource links, interactive elements, and CTAs.</w:t>
            </w:r>
          </w:p>
        </w:tc>
      </w:tr>
      <w:tr>
        <w:tc>
          <w:tcPr>
            <w:tcW w:type="dxa" w:w="205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Security Alert</w:t>
            </w:r>
          </w:p>
        </w:tc>
        <w:tc>
          <w:tcPr>
            <w:tcW w:type="dxa" w:w="205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#ef4444 (Red)</w:t>
            </w:r>
          </w:p>
        </w:tc>
        <w:tc>
          <w:tcPr>
            <w:tcW w:type="dxa" w:w="524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Critical compliance failures (e.g., Port 22 open to 0.0.0.0/0).</w:t>
            </w:r>
          </w:p>
        </w:tc>
      </w:tr>
      <w:tr>
        <w:tc>
          <w:tcPr>
            <w:tcW w:type="dxa" w:w="205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Optimization Glow</w:t>
            </w:r>
          </w:p>
        </w:tc>
        <w:tc>
          <w:tcPr>
            <w:tcW w:type="dxa" w:w="205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#a855f7 (Purple)</w:t>
            </w:r>
          </w:p>
        </w:tc>
        <w:tc>
          <w:tcPr>
            <w:tcW w:type="dxa" w:w="524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AI-driven Autopilot actions and remediation indicators.</w:t>
            </w:r>
          </w:p>
        </w:tc>
      </w:tr>
      <w:tr>
        <w:tc>
          <w:tcPr>
            <w:tcW w:type="dxa" w:w="205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GreenOps</w:t>
            </w:r>
          </w:p>
        </w:tc>
        <w:tc>
          <w:tcPr>
            <w:tcW w:type="dxa" w:w="205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#16a34a (Green)</w:t>
            </w:r>
          </w:p>
        </w:tc>
        <w:tc>
          <w:tcPr>
            <w:tcW w:type="dxa" w:w="524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Sustainability scores and Green Region recommendations.</w:t>
            </w:r>
          </w:p>
        </w:tc>
      </w:tr>
    </w:tbl>
    <w:p>
      <w:pPr>
        <w:spacing w:after="160" w:before="0"/>
      </w:pPr>
    </w:p>
    <w:p>
      <w:pPr>
        <w:pStyle w:val="Heading2"/>
        <w:spacing w:after="80" w:before="240"/>
      </w:pPr>
      <w:r>
        <w:rPr>
          <w:rFonts w:ascii="Arial" w:cs="Arial" w:eastAsia="Arial" w:hAnsi="Arial"/>
          <w:b/>
          <w:bCs/>
          <w:color w:val="2563EB"/>
          <w:sz w:val="26"/>
          <w:szCs w:val="26"/>
        </w:rPr>
        <w:t xml:space="preserve">7.2  Typography &amp; Depth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c>
          <w:tcPr>
            <w:tcW w:type="dxa" w:w="262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D1B3E"/>
                <w:sz w:val="20"/>
                <w:szCs w:val="20"/>
              </w:rPr>
              <w:t xml:space="preserve">Font Family</w:t>
            </w:r>
          </w:p>
        </w:tc>
        <w:tc>
          <w:tcPr>
            <w:tcW w:type="dxa" w:w="673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Inter (Variable Weight) — chosen for high readability on dark backgrounds at small sizes.</w:t>
            </w:r>
          </w:p>
        </w:tc>
      </w:tr>
      <w:tr>
        <w:tc>
          <w:tcPr>
            <w:tcW w:type="dxa" w:w="262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D1B3E"/>
                <w:sz w:val="20"/>
                <w:szCs w:val="20"/>
              </w:rPr>
              <w:t xml:space="preserve">Depth Level 1</w:t>
            </w:r>
          </w:p>
        </w:tc>
        <w:tc>
          <w:tcPr>
            <w:tcW w:type="dxa" w:w="673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Background mesh gradient (Blue + Purple radial). Base z-index layer.</w:t>
            </w:r>
          </w:p>
        </w:tc>
      </w:tr>
      <w:tr>
        <w:tc>
          <w:tcPr>
            <w:tcW w:type="dxa" w:w="262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D1B3E"/>
                <w:sz w:val="20"/>
                <w:szCs w:val="20"/>
              </w:rPr>
              <w:t xml:space="preserve">Depth Level 2</w:t>
            </w:r>
          </w:p>
        </w:tc>
        <w:tc>
          <w:tcPr>
            <w:tcW w:type="dxa" w:w="673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Glass cards with backdrop-filter: blur(16px) + border: 1px solid rgba(255,255,255,0.1).</w:t>
            </w:r>
          </w:p>
        </w:tc>
      </w:tr>
      <w:tr>
        <w:tc>
          <w:tcPr>
            <w:tcW w:type="dxa" w:w="262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D1B3E"/>
                <w:sz w:val="20"/>
                <w:szCs w:val="20"/>
              </w:rPr>
              <w:t xml:space="preserve">Depth Level 3</w:t>
            </w:r>
          </w:p>
        </w:tc>
        <w:tc>
          <w:tcPr>
            <w:tcW w:type="dxa" w:w="673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High-contrast text (#F9FAFB) and glowing SVG icons with CSS drop-shadow filters.</w:t>
            </w:r>
          </w:p>
        </w:tc>
      </w:tr>
      <w:tr>
        <w:tc>
          <w:tcPr>
            <w:tcW w:type="dxa" w:w="262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D1B3E"/>
                <w:sz w:val="20"/>
                <w:szCs w:val="20"/>
              </w:rPr>
              <w:t xml:space="preserve">Heading Weights</w:t>
            </w:r>
          </w:p>
        </w:tc>
        <w:tc>
          <w:tcPr>
            <w:tcW w:type="dxa" w:w="673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700 (Bold) for H1/H2; 500 (Medium) for H3; 400 (Regular) for body text.</w:t>
            </w:r>
          </w:p>
        </w:tc>
      </w:tr>
    </w:tbl>
    <w:p>
      <w:pPr>
        <w:spacing w:after="160" w:before="0"/>
      </w:pPr>
    </w:p>
    <w:p>
      <w:pPr>
        <w:pStyle w:val="Heading1"/>
        <w:pBdr>
          <w:bottom w:val="single" w:color="2563EB" w:sz="6" w:space="2"/>
        </w:pBdr>
        <w:spacing w:after="120" w:before="320"/>
      </w:pPr>
      <w:r>
        <w:rPr>
          <w:rFonts w:ascii="Arial" w:cs="Arial" w:eastAsia="Arial" w:hAnsi="Arial"/>
          <w:b/>
          <w:bCs/>
          <w:color w:val="0D1B3E"/>
          <w:sz w:val="32"/>
          <w:szCs w:val="32"/>
        </w:rPr>
        <w:t xml:space="preserve">8.  UI Component Design</w:t>
      </w:r>
    </w:p>
    <w:p>
      <w:pPr>
        <w:pStyle w:val="Heading2"/>
        <w:spacing w:after="80" w:before="240"/>
      </w:pPr>
      <w:r>
        <w:rPr>
          <w:rFonts w:ascii="Arial" w:cs="Arial" w:eastAsia="Arial" w:hAnsi="Arial"/>
          <w:b/>
          <w:bCs/>
          <w:color w:val="2563EB"/>
          <w:sz w:val="26"/>
          <w:szCs w:val="26"/>
        </w:rPr>
        <w:t xml:space="preserve">8.1  The Compliance Gauge Component</w:t>
      </w:r>
    </w:p>
    <w:p>
      <w:pPr>
        <w:spacing w:after="120" w:before="0"/>
      </w:pPr>
      <w:r>
        <w:rPr>
          <w:rFonts w:ascii="Arial" w:cs="Arial" w:eastAsia="Arial" w:hAnsi="Arial"/>
          <w:color w:val="374151"/>
          <w:sz w:val="22"/>
          <w:szCs w:val="22"/>
        </w:rPr>
        <w:t xml:space="preserve">The Compliance Gauge is a custom SVG component representing the current security posture score as a semi-circular arc with a neon-purple glow.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c>
          <w:tcPr>
            <w:tcW w:type="dxa" w:w="262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D1B3E"/>
                <w:sz w:val="20"/>
                <w:szCs w:val="20"/>
              </w:rPr>
              <w:t xml:space="preserve">Type</w:t>
            </w:r>
          </w:p>
        </w:tc>
        <w:tc>
          <w:tcPr>
            <w:tcW w:type="dxa" w:w="673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Custom SVG React Component</w:t>
            </w:r>
          </w:p>
        </w:tc>
      </w:tr>
      <w:tr>
        <w:tc>
          <w:tcPr>
            <w:tcW w:type="dxa" w:w="262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D1B3E"/>
                <w:sz w:val="20"/>
                <w:szCs w:val="20"/>
              </w:rPr>
              <w:t xml:space="preserve">Input</w:t>
            </w:r>
          </w:p>
        </w:tc>
        <w:tc>
          <w:tcPr>
            <w:tcW w:type="dxa" w:w="673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Integer 0-100 (compliance score)</w:t>
            </w:r>
          </w:p>
        </w:tc>
      </w:tr>
      <w:tr>
        <w:tc>
          <w:tcPr>
            <w:tcW w:type="dxa" w:w="262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D1B3E"/>
                <w:sz w:val="20"/>
                <w:szCs w:val="20"/>
              </w:rPr>
              <w:t xml:space="preserve">Visual</w:t>
            </w:r>
          </w:p>
        </w:tc>
        <w:tc>
          <w:tcPr>
            <w:tcW w:type="dxa" w:w="673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Semi-circular path with neon-purple stroke; CSS drop-shadow for glow effect.</w:t>
            </w:r>
          </w:p>
        </w:tc>
      </w:tr>
      <w:tr>
        <w:tc>
          <w:tcPr>
            <w:tcW w:type="dxa" w:w="262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D1B3E"/>
                <w:sz w:val="20"/>
                <w:szCs w:val="20"/>
              </w:rPr>
              <w:t xml:space="preserve">Arc Formula</w:t>
            </w:r>
          </w:p>
        </w:tc>
        <w:tc>
          <w:tcPr>
            <w:tcW w:type="dxa" w:w="673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Path length L = 2 x PI x r x (score / 100). Calculated dynamically per score update.</w:t>
            </w:r>
          </w:p>
        </w:tc>
      </w:tr>
      <w:tr>
        <w:tc>
          <w:tcPr>
            <w:tcW w:type="dxa" w:w="262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D1B3E"/>
                <w:sz w:val="20"/>
                <w:szCs w:val="20"/>
              </w:rPr>
              <w:t xml:space="preserve">Animation</w:t>
            </w:r>
          </w:p>
        </w:tc>
        <w:tc>
          <w:tcPr>
            <w:tcW w:type="dxa" w:w="673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Framer Motion spring animation on score change. Pulse glow on Critical threshold (&lt;50).</w:t>
            </w:r>
          </w:p>
        </w:tc>
      </w:tr>
    </w:tbl>
    <w:p>
      <w:pPr>
        <w:spacing w:after="160" w:before="0"/>
      </w:pPr>
    </w:p>
    <w:p>
      <w:pPr>
        <w:pStyle w:val="Heading2"/>
        <w:spacing w:after="80" w:before="240"/>
      </w:pPr>
      <w:r>
        <w:rPr>
          <w:rFonts w:ascii="Arial" w:cs="Arial" w:eastAsia="Arial" w:hAnsi="Arial"/>
          <w:b/>
          <w:bCs/>
          <w:color w:val="2563EB"/>
          <w:sz w:val="26"/>
          <w:szCs w:val="26"/>
        </w:rPr>
        <w:t xml:space="preserve">8.2  Dynamic Cost Heatmap</w:t>
      </w:r>
    </w:p>
    <w:p>
      <w:pPr>
        <w:spacing w:after="120" w:before="0"/>
      </w:pPr>
      <w:r>
        <w:rPr>
          <w:rFonts w:ascii="Arial" w:cs="Arial" w:eastAsia="Arial" w:hAnsi="Arial"/>
          <w:color w:val="374151"/>
          <w:sz w:val="22"/>
          <w:szCs w:val="22"/>
        </w:rPr>
        <w:t xml:space="preserve">A grid-based component visualizing AWS resource utilization across instance families and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c>
          <w:tcPr>
            <w:tcW w:type="dxa" w:w="262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D1B3E"/>
                <w:sz w:val="20"/>
                <w:szCs w:val="20"/>
              </w:rPr>
              <w:t xml:space="preserve">Rows</w:t>
            </w:r>
          </w:p>
        </w:tc>
        <w:tc>
          <w:tcPr>
            <w:tcW w:type="dxa" w:w="673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Instance Families: t3, m5, c6g, r6i, c6a</w:t>
            </w:r>
          </w:p>
        </w:tc>
      </w:tr>
      <w:tr>
        <w:tc>
          <w:tcPr>
            <w:tcW w:type="dxa" w:w="262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D1B3E"/>
                <w:sz w:val="20"/>
                <w:szCs w:val="20"/>
              </w:rPr>
              <w:t xml:space="preserve">Columns</w:t>
            </w:r>
          </w:p>
        </w:tc>
        <w:tc>
          <w:tcPr>
            <w:tcW w:type="dxa" w:w="673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AWS Regions: us-east-1, eu-west-1, ap-south-1, ap-southeast-1</w:t>
            </w:r>
          </w:p>
        </w:tc>
      </w:tr>
      <w:tr>
        <w:tc>
          <w:tcPr>
            <w:tcW w:type="dxa" w:w="262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D1B3E"/>
                <w:sz w:val="20"/>
                <w:szCs w:val="20"/>
              </w:rPr>
              <w:t xml:space="preserve">Visual Logic</w:t>
            </w:r>
          </w:p>
        </w:tc>
        <w:tc>
          <w:tcPr>
            <w:tcW w:type="dxa" w:w="673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Glass tile opacity corresponds to cost intensity. Higher spend = higher opacity = warmer glass tint.</w:t>
            </w:r>
          </w:p>
        </w:tc>
      </w:tr>
      <w:tr>
        <w:tc>
          <w:tcPr>
            <w:tcW w:type="dxa" w:w="262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D1B3E"/>
                <w:sz w:val="20"/>
                <w:szCs w:val="20"/>
              </w:rPr>
              <w:t xml:space="preserve">Interaction</w:t>
            </w:r>
          </w:p>
        </w:tc>
        <w:tc>
          <w:tcPr>
            <w:tcW w:type="dxa" w:w="673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Click-to-drill: selecting a tile opens the Resource Detail panel for that family/region combination.</w:t>
            </w:r>
          </w:p>
        </w:tc>
      </w:tr>
    </w:tbl>
    <w:p>
      <w:pPr>
        <w:spacing w:after="160" w:before="0"/>
      </w:pPr>
    </w:p>
    <w:p>
      <w:pPr>
        <w:pStyle w:val="Heading2"/>
        <w:spacing w:after="80" w:before="240"/>
      </w:pPr>
      <w:r>
        <w:rPr>
          <w:rFonts w:ascii="Arial" w:cs="Arial" w:eastAsia="Arial" w:hAnsi="Arial"/>
          <w:b/>
          <w:bCs/>
          <w:color w:val="2563EB"/>
          <w:sz w:val="26"/>
          <w:szCs w:val="26"/>
        </w:rPr>
        <w:t xml:space="preserve">8.3  Dashboard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Page / Route</w:t>
            </w:r>
          </w:p>
        </w:tc>
        <w:tc>
          <w:tcPr>
            <w:tcW w:type="dxa" w:w="6739"/>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2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 (Landing)</w:t>
            </w:r>
          </w:p>
        </w:tc>
        <w:tc>
          <w:tcPr>
            <w:tcW w:type="dxa" w:w="673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High-conversion Hero page: AI Intelligence, Autonomous Remediation, Zero-Trust Security value props.</w:t>
            </w:r>
          </w:p>
        </w:tc>
      </w:tr>
      <w:tr>
        <w:tc>
          <w:tcPr>
            <w:tcW w:type="dxa" w:w="262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/dashboard (Overview)</w:t>
            </w:r>
          </w:p>
        </w:tc>
        <w:tc>
          <w:tcPr>
            <w:tcW w:type="dxa" w:w="673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KPIs: Total Monthly Savings, Waste Score (0-100), Pending Remediations count.</w:t>
            </w:r>
          </w:p>
        </w:tc>
      </w:tr>
      <w:tr>
        <w:tc>
          <w:tcPr>
            <w:tcW w:type="dxa" w:w="262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/resources</w:t>
            </w:r>
          </w:p>
        </w:tc>
        <w:tc>
          <w:tcPr>
            <w:tcW w:type="dxa" w:w="673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Detailed AWS resource inventory (EC2, RDS, S3, EBS) with individual waste scores and risk tiers.</w:t>
            </w:r>
          </w:p>
        </w:tc>
      </w:tr>
      <w:tr>
        <w:tc>
          <w:tcPr>
            <w:tcW w:type="dxa" w:w="262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/recommendations</w:t>
            </w:r>
          </w:p>
        </w:tc>
        <w:tc>
          <w:tcPr>
            <w:tcW w:type="dxa" w:w="673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AI-generated optimization tasks with estimated savings, confidence score, and Terraform preview.</w:t>
            </w:r>
          </w:p>
        </w:tc>
      </w:tr>
      <w:tr>
        <w:tc>
          <w:tcPr>
            <w:tcW w:type="dxa" w:w="262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/cost-explorer</w:t>
            </w:r>
          </w:p>
        </w:tc>
        <w:tc>
          <w:tcPr>
            <w:tcW w:type="dxa" w:w="673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Visual spend patterns, heatmap, and savings opportunity timeline.</w:t>
            </w:r>
          </w:p>
        </w:tc>
      </w:tr>
      <w:tr>
        <w:tc>
          <w:tcPr>
            <w:tcW w:type="dxa" w:w="262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/settings</w:t>
            </w:r>
          </w:p>
        </w:tc>
        <w:tc>
          <w:tcPr>
            <w:tcW w:type="dxa" w:w="673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AWS Account integration, IAM Role ARN input, AI sensitivity thresholds.</w:t>
            </w:r>
          </w:p>
        </w:tc>
      </w:tr>
    </w:tbl>
    <w:p>
      <w:pPr>
        <w:spacing w:after="160" w:before="0"/>
      </w:pPr>
    </w:p>
    <w:p>
      <w:pPr>
        <w:pStyle w:val="Heading1"/>
        <w:pBdr>
          <w:bottom w:val="single" w:color="2563EB" w:sz="6" w:space="2"/>
        </w:pBdr>
        <w:spacing w:after="120" w:before="320"/>
      </w:pPr>
      <w:r>
        <w:rPr>
          <w:rFonts w:ascii="Arial" w:cs="Arial" w:eastAsia="Arial" w:hAnsi="Arial"/>
          <w:b/>
          <w:bCs/>
          <w:color w:val="0D1B3E"/>
          <w:sz w:val="32"/>
          <w:szCs w:val="32"/>
        </w:rPr>
        <w:t xml:space="preserve">9.  System Architecture Design</w:t>
      </w:r>
    </w:p>
    <w:p>
      <w:pPr>
        <w:pStyle w:val="Heading2"/>
        <w:spacing w:after="80" w:before="240"/>
      </w:pPr>
      <w:r>
        <w:rPr>
          <w:rFonts w:ascii="Arial" w:cs="Arial" w:eastAsia="Arial" w:hAnsi="Arial"/>
          <w:b/>
          <w:bCs/>
          <w:color w:val="2563EB"/>
          <w:sz w:val="26"/>
          <w:szCs w:val="26"/>
        </w:rPr>
        <w:t xml:space="preserve">9.1  The Agent + Event Loop Pattern (2026 Standard)</w:t>
      </w:r>
    </w:p>
    <w:p>
      <w:pPr>
        <w:spacing w:after="120" w:before="0"/>
      </w:pPr>
      <w:r>
        <w:rPr>
          <w:rFonts w:ascii="Arial" w:cs="Arial" w:eastAsia="Arial" w:hAnsi="Arial"/>
          <w:color w:val="374151"/>
          <w:sz w:val="22"/>
          <w:szCs w:val="22"/>
        </w:rPr>
        <w:t xml:space="preserve">CloudPulse Pro uses an Async Event Fabric rather than traditional request-response. This enables real-time streaming of AI reasoning to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5"/>
        <w:gridCol w:w="1685"/>
        <w:gridCol w:w="7020"/>
      </w:tblGrid>
      <w:tr>
        <w:trPr>
          <w:tblHeader/>
        </w:trPr>
        <w:tc>
          <w:tcPr>
            <w:tcW w:type="dxa" w:w="655"/>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1685"/>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7020"/>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655"/>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1</w:t>
            </w:r>
          </w:p>
        </w:tc>
        <w:tc>
          <w:tcPr>
            <w:tcW w:type="dxa" w:w="1685"/>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Scanner Trigger</w:t>
            </w:r>
          </w:p>
        </w:tc>
        <w:tc>
          <w:tcPr>
            <w:tcW w:type="dxa" w:w="70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Cron job or user action triggers a Lambda/Celery background task.</w:t>
            </w:r>
          </w:p>
        </w:tc>
      </w:tr>
      <w:tr>
        <w:tc>
          <w:tcPr>
            <w:tcW w:type="dxa" w:w="655"/>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2</w:t>
            </w:r>
          </w:p>
        </w:tc>
        <w:tc>
          <w:tcPr>
            <w:tcW w:type="dxa" w:w="1685"/>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AWS Audit</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Boto3 queries AWS Config and Cost Explorer APIs for resource metadata.</w:t>
            </w:r>
          </w:p>
        </w:tc>
      </w:tr>
      <w:tr>
        <w:tc>
          <w:tcPr>
            <w:tcW w:type="dxa" w:w="655"/>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3</w:t>
            </w:r>
          </w:p>
        </w:tc>
        <w:tc>
          <w:tcPr>
            <w:tcW w:type="dxa" w:w="1685"/>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AI Planning</w:t>
            </w:r>
          </w:p>
        </w:tc>
        <w:tc>
          <w:tcPr>
            <w:tcW w:type="dxa" w:w="70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LangChain analyzes results. If a Zombie is found, it creates a Remediation Plan event.</w:t>
            </w:r>
          </w:p>
        </w:tc>
      </w:tr>
      <w:tr>
        <w:tc>
          <w:tcPr>
            <w:tcW w:type="dxa" w:w="655"/>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4</w:t>
            </w:r>
          </w:p>
        </w:tc>
        <w:tc>
          <w:tcPr>
            <w:tcW w:type="dxa" w:w="1685"/>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UI Streaming</w:t>
            </w:r>
          </w:p>
        </w:tc>
        <w:tc>
          <w:tcPr>
            <w:tcW w:type="dxa" w:w="70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Backend uses Server-Sent Events (SSE) to stream the AI thought process to the glass-card terminal in real-time.</w:t>
            </w:r>
          </w:p>
        </w:tc>
      </w:tr>
    </w:tbl>
    <w:p>
      <w:pPr>
        <w:spacing w:after="160" w:before="0"/>
      </w:pPr>
    </w:p>
    <w:p>
      <w:pPr>
        <w:pStyle w:val="Heading1"/>
        <w:pBdr>
          <w:bottom w:val="single" w:color="2563EB" w:sz="6" w:space="2"/>
        </w:pBdr>
        <w:spacing w:after="120" w:before="320"/>
      </w:pPr>
      <w:r>
        <w:rPr>
          <w:rFonts w:ascii="Arial" w:cs="Arial" w:eastAsia="Arial" w:hAnsi="Arial"/>
          <w:b/>
          <w:bCs/>
          <w:color w:val="0D1B3E"/>
          <w:sz w:val="32"/>
          <w:szCs w:val="32"/>
        </w:rPr>
        <w:t xml:space="preserve">10.  Logical Data Flow — Zombie Resource Detection</w:t>
      </w:r>
    </w:p>
    <w:p>
      <w:pPr>
        <w:pStyle w:val="Heading2"/>
        <w:spacing w:after="80" w:before="240"/>
      </w:pPr>
      <w:r>
        <w:rPr>
          <w:rFonts w:ascii="Arial" w:cs="Arial" w:eastAsia="Arial" w:hAnsi="Arial"/>
          <w:b/>
          <w:bCs/>
          <w:color w:val="2563EB"/>
          <w:sz w:val="26"/>
          <w:szCs w:val="26"/>
        </w:rPr>
        <w:t xml:space="preserve">Step 1: Identification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EBS</w:t>
            </w:r>
          </w:p>
        </w:tc>
        <w:tc>
          <w:tcPr>
            <w:tcW w:type="dxa" w:w="8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Query all volumes with State: available (unattached). Flag volumes with last-attach-time &gt; 30 days.</w:t>
            </w:r>
          </w:p>
        </w:tc>
      </w:tr>
      <w:tr>
        <w:tc>
          <w:tcPr>
            <w:tcW w:type="dxa" w:w="1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RDS</w:t>
            </w:r>
          </w:p>
        </w:tc>
        <w:tc>
          <w:tcPr>
            <w:tcW w:type="dxa" w:w="8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Identify automated snapshots older than X days with no associated active DB instance ARN.</w:t>
            </w:r>
          </w:p>
        </w:tc>
      </w:tr>
      <w:tr>
        <w:tc>
          <w:tcPr>
            <w:tcW w:type="dxa" w:w="100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ELB / ALB</w:t>
            </w:r>
          </w:p>
        </w:tc>
        <w:tc>
          <w:tcPr>
            <w:tcW w:type="dxa" w:w="8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Flag Application Load Balancers where CloudWatch RequestCount = 0 over the trailing 7-day window.</w:t>
            </w:r>
          </w:p>
        </w:tc>
      </w:tr>
    </w:tbl>
    <w:p>
      <w:pPr>
        <w:spacing w:after="160" w:before="0"/>
      </w:pPr>
    </w:p>
    <w:p>
      <w:pPr>
        <w:pStyle w:val="Heading2"/>
        <w:spacing w:after="80" w:before="240"/>
      </w:pPr>
      <w:r>
        <w:rPr>
          <w:rFonts w:ascii="Arial" w:cs="Arial" w:eastAsia="Arial" w:hAnsi="Arial"/>
          <w:b/>
          <w:bCs/>
          <w:color w:val="2563EB"/>
          <w:sz w:val="26"/>
          <w:szCs w:val="26"/>
        </w:rPr>
        <w:t xml:space="preserve">Step 2: AI Remediation Prompt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C3AED" w:sz="12"/>
              <w:bottom w:val="none" w:color="FFFFFF" w:sz="0"/>
              <w:right w:val="none" w:color="FFFFFF" w:sz="0"/>
            </w:tcBorders>
            <w:shd w:fill="F5F3FF" w:val="clear"/>
            <w:tcMar>
              <w:top w:type="dxa" w:w="80"/>
              <w:left w:type="dxa" w:w="200"/>
              <w:bottom w:type="dxa" w:w="40"/>
              <w:right w:type="dxa" w:w="120"/>
            </w:tcMar>
          </w:tcPr>
          <w:p>
            <w:r>
              <w:rPr>
                <w:rFonts w:ascii="Arial" w:cs="Arial" w:eastAsia="Arial" w:hAnsi="Arial"/>
                <w:b/>
                <w:bCs/>
                <w:color w:val="0D1B3E"/>
                <w:sz w:val="22"/>
                <w:szCs w:val="22"/>
              </w:rPr>
              <w:t xml:space="preserve">LangChain System Prompt</w:t>
            </w:r>
          </w:p>
        </w:tc>
      </w:tr>
      <w:tr>
        <w:tc>
          <w:tcPr>
            <w:tcW w:type="dxa" w:w="9360"/>
            <w:tcBorders>
              <w:top w:val="none" w:color="FFFFFF" w:sz="0"/>
              <w:left w:val="single" w:color="7C3AED" w:sz="12"/>
              <w:bottom w:val="none" w:color="FFFFFF" w:sz="0"/>
              <w:right w:val="none" w:color="FFFFFF" w:sz="0"/>
            </w:tcBorders>
            <w:shd w:fill="F5F3FF" w:val="clear"/>
            <w:tcMar>
              <w:top w:type="dxa" w:w="20"/>
              <w:left w:type="dxa" w:w="200"/>
              <w:bottom w:type="dxa" w:w="100"/>
              <w:right w:type="dxa" w:w="120"/>
            </w:tcMar>
          </w:tcPr>
          <w:p>
            <w:r>
              <w:rPr>
                <w:rFonts w:ascii="Arial" w:cs="Arial" w:eastAsia="Arial" w:hAnsi="Arial"/>
                <w:color w:val="374151"/>
                <w:sz w:val="22"/>
                <w:szCs w:val="22"/>
              </w:rPr>
              <w:t xml:space="preserve">"You are a CloudPulse Pro AI Agent. Analyze this AWS resource: {resource_metadata}. Generate a Terraform destroy or modify script to optimize cost while maintaining a 0% risk profile. Include a Reasoning block explaining the decision, an Estimated Monthly Savings figure, and a Confidence Score (0-100)."</w:t>
            </w:r>
          </w:p>
        </w:tc>
      </w:tr>
    </w:tbl>
    <w:p>
      <w:pPr>
        <w:spacing w:after="160" w:before="0"/>
      </w:pPr>
    </w:p>
    <w:p>
      <w:pPr>
        <w:pStyle w:val="Heading2"/>
        <w:spacing w:after="80" w:before="240"/>
      </w:pPr>
      <w:r>
        <w:rPr>
          <w:rFonts w:ascii="Arial" w:cs="Arial" w:eastAsia="Arial" w:hAnsi="Arial"/>
          <w:b/>
          <w:bCs/>
          <w:color w:val="2563EB"/>
          <w:sz w:val="26"/>
          <w:szCs w:val="26"/>
        </w:rPr>
        <w:t xml:space="preserve">Step 3: Verification Gate</w:t>
      </w:r>
    </w:p>
    <w:p>
      <w:pPr>
        <w:spacing w:after="120" w:before="0"/>
      </w:pPr>
      <w:r>
        <w:rPr>
          <w:rFonts w:ascii="Arial" w:cs="Arial" w:eastAsia="Arial" w:hAnsi="Arial"/>
          <w:color w:val="374151"/>
          <w:sz w:val="22"/>
          <w:szCs w:val="22"/>
        </w:rPr>
        <w:t xml:space="preserve">All AI-generated Terraform code is passed through a terraform validate check in an isolated sandbox container before being surfaced to the user. Output is never shown if validation fails.</w:t>
      </w:r>
    </w:p>
    <w:p>
      <w:pPr>
        <w:spacing w:after="160" w:before="0"/>
      </w:pPr>
    </w:p>
    <w:p>
      <w:pPr>
        <w:pStyle w:val="Heading1"/>
        <w:pBdr>
          <w:bottom w:val="single" w:color="2563EB" w:sz="6" w:space="2"/>
        </w:pBdr>
        <w:spacing w:after="120" w:before="320"/>
      </w:pPr>
      <w:r>
        <w:rPr>
          <w:rFonts w:ascii="Arial" w:cs="Arial" w:eastAsia="Arial" w:hAnsi="Arial"/>
          <w:b/>
          <w:bCs/>
          <w:color w:val="0D1B3E"/>
          <w:sz w:val="32"/>
          <w:szCs w:val="32"/>
        </w:rPr>
        <w:t xml:space="preserve">11.  Security &amp; Permission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F4444" w:sz="12"/>
              <w:bottom w:val="none" w:color="FFFFFF" w:sz="0"/>
              <w:right w:val="none" w:color="FFFFFF" w:sz="0"/>
            </w:tcBorders>
            <w:shd w:fill="FEF2F2" w:val="clear"/>
            <w:tcMar>
              <w:top w:type="dxa" w:w="80"/>
              <w:left w:type="dxa" w:w="200"/>
              <w:bottom w:type="dxa" w:w="40"/>
              <w:right w:type="dxa" w:w="120"/>
            </w:tcMar>
          </w:tcPr>
          <w:p>
            <w:r>
              <w:rPr>
                <w:rFonts w:ascii="Arial" w:cs="Arial" w:eastAsia="Arial" w:hAnsi="Arial"/>
                <w:b/>
                <w:bCs/>
                <w:color w:val="0D1B3E"/>
                <w:sz w:val="22"/>
                <w:szCs w:val="22"/>
              </w:rPr>
              <w:t xml:space="preserve">Principle of Least Privilege</w:t>
            </w:r>
          </w:p>
        </w:tc>
      </w:tr>
      <w:tr>
        <w:tc>
          <w:tcPr>
            <w:tcW w:type="dxa" w:w="9360"/>
            <w:tcBorders>
              <w:top w:val="none" w:color="FFFFFF" w:sz="0"/>
              <w:left w:val="single" w:color="EF4444" w:sz="12"/>
              <w:bottom w:val="none" w:color="FFFFFF" w:sz="0"/>
              <w:right w:val="none" w:color="FFFFFF" w:sz="0"/>
            </w:tcBorders>
            <w:shd w:fill="FEF2F2" w:val="clear"/>
            <w:tcMar>
              <w:top w:type="dxa" w:w="20"/>
              <w:left w:type="dxa" w:w="200"/>
              <w:bottom w:type="dxa" w:w="100"/>
              <w:right w:type="dxa" w:w="120"/>
            </w:tcMar>
          </w:tcPr>
          <w:p>
            <w:r>
              <w:rPr>
                <w:rFonts w:ascii="Arial" w:cs="Arial" w:eastAsia="Arial" w:hAnsi="Arial"/>
                <w:color w:val="374151"/>
                <w:sz w:val="22"/>
                <w:szCs w:val="22"/>
              </w:rPr>
              <w:t xml:space="preserve">Since the application has the ability to modify and delete production infrastructure, the permission model follows strict least-privilege design with two distinct IAM modes.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91"/>
        <w:gridCol w:w="2808"/>
        <w:gridCol w:w="2621"/>
        <w:gridCol w:w="2340"/>
      </w:tblGrid>
      <w:tr>
        <w:trPr>
          <w:tblHeader/>
        </w:trPr>
        <w:tc>
          <w:tcPr>
            <w:tcW w:type="dxa" w:w="1591"/>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2808"/>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IAM Policy</w:t>
            </w:r>
          </w:p>
        </w:tc>
        <w:tc>
          <w:tcPr>
            <w:tcW w:type="dxa" w:w="2621"/>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Activation</w:t>
            </w:r>
          </w:p>
        </w:tc>
        <w:tc>
          <w:tcPr>
            <w:tcW w:type="dxa" w:w="2340"/>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r>
      <w:tr>
        <w:tc>
          <w:tcPr>
            <w:tcW w:type="dxa" w:w="159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Audit Mode</w:t>
            </w:r>
          </w:p>
        </w:tc>
        <w:tc>
          <w:tcPr>
            <w:tcW w:type="dxa" w:w="280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arn:aws:iam::aws:policy/ReadOnlyAccess</w:t>
            </w:r>
          </w:p>
        </w:tc>
        <w:tc>
          <w:tcPr>
            <w:tcW w:type="dxa" w:w="2621"/>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Always active during scanning and dashboard refresh.</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List and Describe permissions only. No writes.</w:t>
            </w:r>
          </w:p>
        </w:tc>
      </w:tr>
      <w:tr>
        <w:tc>
          <w:tcPr>
            <w:tcW w:type="dxa" w:w="159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Remediation Mode</w:t>
            </w:r>
          </w:p>
        </w:tc>
        <w:tc>
          <w:tcPr>
            <w:tcW w:type="dxa" w:w="2808"/>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Custom Scoped Policy</w:t>
            </w:r>
          </w:p>
        </w:tc>
        <w:tc>
          <w:tcPr>
            <w:tcW w:type="dxa" w:w="2621"/>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Only activated when user explicitly clicks Execute Fix.</w:t>
            </w:r>
          </w:p>
        </w:tc>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Targets specific resource IDs via temporary STS token. Expires after 1 hour.</w:t>
            </w:r>
          </w:p>
        </w:tc>
      </w:tr>
    </w:tbl>
    <w:p>
      <w:r>
        <w:br w:type="page"/>
      </w:r>
    </w:p>
    <w:p>
      <w:pPr>
        <w:shd w:fill="0D1B3E" w:val="clear"/>
        <w:spacing w:after="160" w:before="160"/>
        <w:ind w:left="120" w:right="120"/>
      </w:pPr>
      <w:r>
        <w:rPr>
          <w:rFonts w:ascii="Arial" w:cs="Arial" w:eastAsia="Arial" w:hAnsi="Arial"/>
          <w:b/>
          <w:bCs/>
          <w:color w:val="FFFFFF"/>
          <w:sz w:val="24"/>
          <w:szCs w:val="24"/>
        </w:rPr>
        <w:t xml:space="preserve">PART III — TECHNICAL STACK REFERENCE  (V2.0)</w:t>
      </w:r>
    </w:p>
    <w:p>
      <w:pPr>
        <w:spacing w:after="160" w:before="0"/>
      </w:pPr>
    </w:p>
    <w:p>
      <w:pPr>
        <w:spacing w:after="60" w:before="0"/>
      </w:pPr>
      <w:r>
        <w:rPr>
          <w:rFonts w:ascii="Arial" w:cs="Arial" w:eastAsia="Arial" w:hAnsi="Arial"/>
          <w:b/>
          <w:bCs/>
          <w:color w:val="0D1B3E"/>
          <w:sz w:val="40"/>
          <w:szCs w:val="40"/>
        </w:rPr>
        <w:t xml:space="preserve">Technical Stack Documentation</w:t>
      </w:r>
    </w:p>
    <w:p>
      <w:pPr>
        <w:spacing w:after="160" w:before="0"/>
      </w:pPr>
      <w:r>
        <w:rPr>
          <w:rFonts w:ascii="Arial" w:cs="Arial" w:eastAsia="Arial" w:hAnsi="Arial"/>
          <w:i/>
          <w:iCs/>
          <w:color w:val="2563EB"/>
          <w:sz w:val="24"/>
          <w:szCs w:val="24"/>
        </w:rPr>
        <w:t xml:space="preserve">Standard Engineering Specification — CloudPulse Engineering Team</w:t>
      </w:r>
    </w:p>
    <w:p>
      <w:pPr>
        <w:pBdr>
          <w:bottom w:val="single" w:color="2563EB" w:sz="4" w:space="1"/>
        </w:pBdr>
        <w:spacing w:after="120" w:before="120"/>
      </w:pPr>
    </w:p>
    <w:p>
      <w:pPr>
        <w:spacing w:after="80" w:before="0"/>
      </w:pPr>
    </w:p>
    <w:p>
      <w:pPr>
        <w:pStyle w:val="Heading1"/>
        <w:pBdr>
          <w:bottom w:val="single" w:color="2563EB" w:sz="6" w:space="2"/>
        </w:pBdr>
        <w:spacing w:after="120" w:before="320"/>
      </w:pPr>
      <w:r>
        <w:rPr>
          <w:rFonts w:ascii="Arial" w:cs="Arial" w:eastAsia="Arial" w:hAnsi="Arial"/>
          <w:b/>
          <w:bCs/>
          <w:color w:val="0D1B3E"/>
          <w:sz w:val="32"/>
          <w:szCs w:val="32"/>
        </w:rPr>
        <w:t xml:space="preserve">12.  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rPr>
          <w:tblHeader/>
        </w:trPr>
        <w:tc>
          <w:tcPr>
            <w:tcW w:type="dxa" w:w="2340"/>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76"/>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744"/>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 / Notes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Frontend Framework</w:t>
            </w:r>
          </w:p>
        </w:tc>
        <w:tc>
          <w:tcPr>
            <w:tcW w:type="dxa" w:w="32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Next.js 14+ (App Router)</w:t>
            </w:r>
          </w:p>
        </w:tc>
        <w:tc>
          <w:tcPr>
            <w:tcW w:type="dxa" w:w="374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React 18, SSR/SSG, optimized routing</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Styling</w:t>
            </w:r>
          </w:p>
        </w:tc>
        <w:tc>
          <w:tcPr>
            <w:tcW w:type="dxa" w:w="32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Tailwind CSS</w:t>
            </w:r>
          </w:p>
        </w:tc>
        <w:tc>
          <w:tcPr>
            <w:tcW w:type="dxa" w:w="374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Utility-first, Glassmorphism utilities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Animations</w:t>
            </w:r>
          </w:p>
        </w:tc>
        <w:tc>
          <w:tcPr>
            <w:tcW w:type="dxa" w:w="32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Framer Motion</w:t>
            </w:r>
          </w:p>
        </w:tc>
        <w:tc>
          <w:tcPr>
            <w:tcW w:type="dxa" w:w="374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Transitions, glow effects, spring physics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Icons</w:t>
            </w:r>
          </w:p>
        </w:tc>
        <w:tc>
          <w:tcPr>
            <w:tcW w:type="dxa" w:w="32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Lucide-React</w:t>
            </w:r>
          </w:p>
        </w:tc>
        <w:tc>
          <w:tcPr>
            <w:tcW w:type="dxa" w:w="374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Clean, consistent icon set</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Charts</w:t>
            </w:r>
          </w:p>
        </w:tc>
        <w:tc>
          <w:tcPr>
            <w:tcW w:type="dxa" w:w="32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Recharts / Tremor.so</w:t>
            </w:r>
          </w:p>
        </w:tc>
        <w:tc>
          <w:tcPr>
            <w:tcW w:type="dxa" w:w="374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Financial and utilization data visualization</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State Management</w:t>
            </w:r>
          </w:p>
        </w:tc>
        <w:tc>
          <w:tcPr>
            <w:tcW w:type="dxa" w:w="32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Zustand</w:t>
            </w:r>
          </w:p>
        </w:tc>
        <w:tc>
          <w:tcPr>
            <w:tcW w:type="dxa" w:w="374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Lightweight global state (region, session)</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Data Fetching</w:t>
            </w:r>
          </w:p>
        </w:tc>
        <w:tc>
          <w:tcPr>
            <w:tcW w:type="dxa" w:w="32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TanStack Query (React Query)</w:t>
            </w:r>
          </w:p>
        </w:tc>
        <w:tc>
          <w:tcPr>
            <w:tcW w:type="dxa" w:w="374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Caching, loading/error states for AWS data</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Backend Framework</w:t>
            </w:r>
          </w:p>
        </w:tc>
        <w:tc>
          <w:tcPr>
            <w:tcW w:type="dxa" w:w="32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FastAPI (Python 3.11+)</w:t>
            </w:r>
          </w:p>
        </w:tc>
        <w:tc>
          <w:tcPr>
            <w:tcW w:type="dxa" w:w="374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Async, auto OpenAPI/Swagger docs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Validation</w:t>
            </w:r>
          </w:p>
        </w:tc>
        <w:tc>
          <w:tcPr>
            <w:tcW w:type="dxa" w:w="32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Pydantic v2</w:t>
            </w:r>
          </w:p>
        </w:tc>
        <w:tc>
          <w:tcPr>
            <w:tcW w:type="dxa" w:w="374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Strict typing of AWS API responses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Task Queue</w:t>
            </w:r>
          </w:p>
        </w:tc>
        <w:tc>
          <w:tcPr>
            <w:tcW w:type="dxa" w:w="32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Celery + Redis</w:t>
            </w:r>
          </w:p>
        </w:tc>
        <w:tc>
          <w:tcPr>
            <w:tcW w:type="dxa" w:w="374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Background scanning and remediation jobs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AWS SDK</w:t>
            </w:r>
          </w:p>
        </w:tc>
        <w:tc>
          <w:tcPr>
            <w:tcW w:type="dxa" w:w="32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Boto3</w:t>
            </w:r>
          </w:p>
        </w:tc>
        <w:tc>
          <w:tcPr>
            <w:tcW w:type="dxa" w:w="374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Cost Explorer, EC2, IAM, Config, S3</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LLM Orchestration</w:t>
            </w:r>
          </w:p>
        </w:tc>
        <w:tc>
          <w:tcPr>
            <w:tcW w:type="dxa" w:w="32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LangChain</w:t>
            </w:r>
          </w:p>
        </w:tc>
        <w:tc>
          <w:tcPr>
            <w:tcW w:type="dxa" w:w="374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Prompt chaining, tool use, agent loops</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Primary LLM</w:t>
            </w:r>
          </w:p>
        </w:tc>
        <w:tc>
          <w:tcPr>
            <w:tcW w:type="dxa" w:w="32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GPT-4o / Claude 3.5 Sonnet (Bedrock)</w:t>
            </w:r>
          </w:p>
        </w:tc>
        <w:tc>
          <w:tcPr>
            <w:tcW w:type="dxa" w:w="374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Terraform generation and deep analysis</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Secondary LLM</w:t>
            </w:r>
          </w:p>
        </w:tc>
        <w:tc>
          <w:tcPr>
            <w:tcW w:type="dxa" w:w="32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Llama 3 (Local/Ollama)</w:t>
            </w:r>
          </w:p>
        </w:tc>
        <w:tc>
          <w:tcPr>
            <w:tcW w:type="dxa" w:w="374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Lightweight metadata classification (cost saving)</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Database</w:t>
            </w:r>
          </w:p>
        </w:tc>
        <w:tc>
          <w:tcPr>
            <w:tcW w:type="dxa" w:w="32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PostgreSQL</w:t>
            </w:r>
          </w:p>
        </w:tc>
        <w:tc>
          <w:tcPr>
            <w:tcW w:type="dxa" w:w="374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User profiles, scan logs, compliance history</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Cache</w:t>
            </w:r>
          </w:p>
        </w:tc>
        <w:tc>
          <w:tcPr>
            <w:tcW w:type="dxa" w:w="32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Redis</w:t>
            </w:r>
          </w:p>
        </w:tc>
        <w:tc>
          <w:tcPr>
            <w:tcW w:type="dxa" w:w="374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Real-time Compliance Index, session data</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Auth</w:t>
            </w:r>
          </w:p>
        </w:tc>
        <w:tc>
          <w:tcPr>
            <w:tcW w:type="dxa" w:w="32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NextAuth.js or Clerk</w:t>
            </w:r>
          </w:p>
        </w:tc>
        <w:tc>
          <w:tcPr>
            <w:tcW w:type="dxa" w:w="374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Secure login with MFA support</w:t>
            </w:r>
          </w:p>
        </w:tc>
      </w:tr>
      <w:tr>
        <w:tc>
          <w:tcPr>
            <w:tcW w:type="dxa" w:w="23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Frontend Hosting</w:t>
            </w:r>
          </w:p>
        </w:tc>
        <w:tc>
          <w:tcPr>
            <w:tcW w:type="dxa" w:w="3276"/>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AWS Amplify</w:t>
            </w:r>
          </w:p>
        </w:tc>
        <w:tc>
          <w:tcPr>
            <w:tcW w:type="dxa" w:w="3744"/>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Fully managed, CDN-backed</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Backend Hosting</w:t>
            </w:r>
          </w:p>
        </w:tc>
        <w:tc>
          <w:tcPr>
            <w:tcW w:type="dxa" w:w="327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AWS App Runner</w:t>
            </w:r>
          </w:p>
        </w:tc>
        <w:tc>
          <w:tcPr>
            <w:tcW w:type="dxa" w:w="3744"/>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Auto-scaling container hosting</w:t>
            </w:r>
          </w:p>
        </w:tc>
      </w:tr>
    </w:tbl>
    <w:p>
      <w:pPr>
        <w:spacing w:after="160" w:before="0"/>
      </w:pPr>
    </w:p>
    <w:p>
      <w:pPr>
        <w:pStyle w:val="Heading1"/>
        <w:pBdr>
          <w:bottom w:val="single" w:color="2563EB" w:sz="6" w:space="2"/>
        </w:pBdr>
        <w:spacing w:after="120" w:before="320"/>
      </w:pPr>
      <w:r>
        <w:rPr>
          <w:rFonts w:ascii="Arial" w:cs="Arial" w:eastAsia="Arial" w:hAnsi="Arial"/>
          <w:b/>
          <w:bCs/>
          <w:color w:val="0D1B3E"/>
          <w:sz w:val="32"/>
          <w:szCs w:val="32"/>
        </w:rPr>
        <w:t xml:space="preserve">13.  Frontend Layer</w:t>
      </w:r>
    </w:p>
    <w:p>
      <w:pPr>
        <w:pStyle w:val="Heading2"/>
        <w:spacing w:after="80" w:before="240"/>
      </w:pPr>
      <w:r>
        <w:rPr>
          <w:rFonts w:ascii="Arial" w:cs="Arial" w:eastAsia="Arial" w:hAnsi="Arial"/>
          <w:b/>
          <w:bCs/>
          <w:color w:val="2563EB"/>
          <w:sz w:val="26"/>
          <w:szCs w:val="26"/>
        </w:rPr>
        <w:t xml:space="preserve">Next.js 14+ (App Router)</w:t>
      </w:r>
    </w:p>
    <w:p>
      <w:pPr>
        <w:spacing w:after="120" w:before="0"/>
      </w:pPr>
      <w:r>
        <w:rPr>
          <w:rFonts w:ascii="Arial" w:cs="Arial" w:eastAsia="Arial" w:hAnsi="Arial"/>
          <w:color w:val="374151"/>
          <w:sz w:val="22"/>
          <w:szCs w:val="22"/>
        </w:rPr>
        <w:t xml:space="preserve">React-based framework powering the dashboard, resource explorer, recommendations, and compliance 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c>
          <w:tcPr>
            <w:tcW w:type="dxa" w:w="262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D1B3E"/>
                <w:sz w:val="20"/>
                <w:szCs w:val="20"/>
              </w:rPr>
              <w:t xml:space="preserve">Why Next.js 14</w:t>
            </w:r>
          </w:p>
        </w:tc>
        <w:tc>
          <w:tcPr>
            <w:tcW w:type="dxa" w:w="673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SSR ensures fast initial loads for data-heavy dashboards. App Router provides robust structure for SSE-driven AI streaming views.</w:t>
            </w:r>
          </w:p>
        </w:tc>
      </w:tr>
      <w:tr>
        <w:tc>
          <w:tcPr>
            <w:tcW w:type="dxa" w:w="262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D1B3E"/>
                <w:sz w:val="20"/>
                <w:szCs w:val="20"/>
              </w:rPr>
              <w:t xml:space="preserve">Key Pages</w:t>
            </w:r>
          </w:p>
        </w:tc>
        <w:tc>
          <w:tcPr>
            <w:tcW w:type="dxa" w:w="673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Landing / Login / Signup / Dashboard / Resources / Recommendations / Cost Explorer / Settings</w:t>
            </w:r>
          </w:p>
        </w:tc>
      </w:tr>
      <w:tr>
        <w:tc>
          <w:tcPr>
            <w:tcW w:type="dxa" w:w="262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D1B3E"/>
                <w:sz w:val="20"/>
                <w:szCs w:val="20"/>
              </w:rPr>
              <w:t xml:space="preserve">Rendering Strategy</w:t>
            </w:r>
          </w:p>
        </w:tc>
        <w:tc>
          <w:tcPr>
            <w:tcW w:type="dxa" w:w="673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Server Components for read-heavy pages (resources, cost). Client Components for interactive elements (gauge, approval modals).</w:t>
            </w:r>
          </w:p>
        </w:tc>
      </w:tr>
    </w:tbl>
    <w:p>
      <w:pPr>
        <w:spacing w:after="120" w:before="0"/>
      </w:pPr>
    </w:p>
    <w:p>
      <w:pPr>
        <w:pStyle w:val="Heading2"/>
        <w:spacing w:after="80" w:before="240"/>
      </w:pPr>
      <w:r>
        <w:rPr>
          <w:rFonts w:ascii="Arial" w:cs="Arial" w:eastAsia="Arial" w:hAnsi="Arial"/>
          <w:b/>
          <w:bCs/>
          <w:color w:val="2563EB"/>
          <w:sz w:val="26"/>
          <w:szCs w:val="26"/>
        </w:rPr>
        <w:t xml:space="preserve">Glassmorphism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c>
          <w:tcPr>
            <w:tcW w:type="dxa" w:w="262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D1B3E"/>
                <w:sz w:val="20"/>
                <w:szCs w:val="20"/>
              </w:rPr>
              <w:t xml:space="preserve">Blur Effect</w:t>
            </w:r>
          </w:p>
        </w:tc>
        <w:tc>
          <w:tcPr>
            <w:tcW w:type="dxa" w:w="673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backdrop-filter: blur(16px) on all card surfaces. Requires webkit prefix for Safari compatibility.</w:t>
            </w:r>
          </w:p>
        </w:tc>
      </w:tr>
      <w:tr>
        <w:tc>
          <w:tcPr>
            <w:tcW w:type="dxa" w:w="262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D1B3E"/>
                <w:sz w:val="20"/>
                <w:szCs w:val="20"/>
              </w:rPr>
              <w:t xml:space="preserve">Transparency</w:t>
            </w:r>
          </w:p>
        </w:tc>
        <w:tc>
          <w:tcPr>
            <w:tcW w:type="dxa" w:w="673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background: rgba(255,255,255,0.05) with border: 1px solid rgba(255,255,255,0.10).</w:t>
            </w:r>
          </w:p>
        </w:tc>
      </w:tr>
      <w:tr>
        <w:tc>
          <w:tcPr>
            <w:tcW w:type="dxa" w:w="262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D1B3E"/>
                <w:sz w:val="20"/>
                <w:szCs w:val="20"/>
              </w:rPr>
              <w:t xml:space="preserve">Glow Effects</w:t>
            </w:r>
          </w:p>
        </w:tc>
        <w:tc>
          <w:tcPr>
            <w:tcW w:type="dxa" w:w="673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box-shadow: 0 0 20px rgba(59,130,246,0.3) for blue glow; 0 0 20px rgba(168,85,247,0.3) for purple.</w:t>
            </w:r>
          </w:p>
        </w:tc>
      </w:tr>
      <w:tr>
        <w:tc>
          <w:tcPr>
            <w:tcW w:type="dxa" w:w="262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D1B3E"/>
                <w:sz w:val="20"/>
                <w:szCs w:val="20"/>
              </w:rPr>
              <w:t xml:space="preserve">Dark Base</w:t>
            </w:r>
          </w:p>
        </w:tc>
        <w:tc>
          <w:tcPr>
            <w:tcW w:type="dxa" w:w="673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#0a0a0c background with radial-gradient mesh (blue-to-purple) at z-index 0.</w:t>
            </w:r>
          </w:p>
        </w:tc>
      </w:tr>
    </w:tbl>
    <w:p>
      <w:pPr>
        <w:spacing w:after="160" w:before="0"/>
      </w:pPr>
    </w:p>
    <w:p>
      <w:pPr>
        <w:pStyle w:val="Heading1"/>
        <w:pBdr>
          <w:bottom w:val="single" w:color="2563EB" w:sz="6" w:space="2"/>
        </w:pBdr>
        <w:spacing w:after="120" w:before="320"/>
      </w:pPr>
      <w:r>
        <w:rPr>
          <w:rFonts w:ascii="Arial" w:cs="Arial" w:eastAsia="Arial" w:hAnsi="Arial"/>
          <w:b/>
          <w:bCs/>
          <w:color w:val="0D1B3E"/>
          <w:sz w:val="32"/>
          <w:szCs w:val="32"/>
        </w:rPr>
        <w:t xml:space="preserve">14.  Backend Layer</w:t>
      </w:r>
    </w:p>
    <w:p>
      <w:pPr>
        <w:pStyle w:val="Heading2"/>
        <w:spacing w:after="80" w:before="240"/>
      </w:pPr>
      <w:r>
        <w:rPr>
          <w:rFonts w:ascii="Arial" w:cs="Arial" w:eastAsia="Arial" w:hAnsi="Arial"/>
          <w:b/>
          <w:bCs/>
          <w:color w:val="2563EB"/>
          <w:sz w:val="26"/>
          <w:szCs w:val="26"/>
        </w:rPr>
        <w:t xml:space="preserve">FastAPI (Python 3.11+)</w:t>
      </w:r>
    </w:p>
    <w:p>
      <w:pPr>
        <w:spacing w:after="120" w:before="0"/>
      </w:pPr>
      <w:r>
        <w:rPr>
          <w:rFonts w:ascii="Arial" w:cs="Arial" w:eastAsia="Arial" w:hAnsi="Arial"/>
          <w:color w:val="374151"/>
          <w:sz w:val="22"/>
          <w:szCs w:val="22"/>
        </w:rPr>
        <w:t xml:space="preserve">High-performance ASGI framework serving as the intelligence hub and API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c>
          <w:tcPr>
            <w:tcW w:type="dxa" w:w="262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D1B3E"/>
                <w:sz w:val="20"/>
                <w:szCs w:val="20"/>
              </w:rPr>
              <w:t xml:space="preserve">Why FastAPI</w:t>
            </w:r>
          </w:p>
        </w:tc>
        <w:tc>
          <w:tcPr>
            <w:tcW w:type="dxa" w:w="673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Native async support handles long-running Boto3 scans and LLM calls without blocking the event loop.</w:t>
            </w:r>
          </w:p>
        </w:tc>
      </w:tr>
      <w:tr>
        <w:tc>
          <w:tcPr>
            <w:tcW w:type="dxa" w:w="262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D1B3E"/>
                <w:sz w:val="20"/>
                <w:szCs w:val="20"/>
              </w:rPr>
              <w:t xml:space="preserve">Key Routers</w:t>
            </w:r>
          </w:p>
        </w:tc>
        <w:tc>
          <w:tcPr>
            <w:tcW w:type="dxa" w:w="673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/auth (JWT) · /dashboard (KPI aggregation) · /resources (scan + filter) · /remediation (Terraform gen + execute)</w:t>
            </w:r>
          </w:p>
        </w:tc>
      </w:tr>
      <w:tr>
        <w:tc>
          <w:tcPr>
            <w:tcW w:type="dxa" w:w="262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D1B3E"/>
                <w:sz w:val="20"/>
                <w:szCs w:val="20"/>
              </w:rPr>
              <w:t xml:space="preserve">Background Tasks</w:t>
            </w:r>
          </w:p>
        </w:tc>
        <w:tc>
          <w:tcPr>
            <w:tcW w:type="dxa" w:w="673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Celery workers consume tasks from Redis queues for scans that may run 30-120 seconds.</w:t>
            </w:r>
          </w:p>
        </w:tc>
      </w:tr>
      <w:tr>
        <w:tc>
          <w:tcPr>
            <w:tcW w:type="dxa" w:w="262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D1B3E"/>
                <w:sz w:val="20"/>
                <w:szCs w:val="20"/>
              </w:rPr>
              <w:t xml:space="preserve">Retry Policy</w:t>
            </w:r>
          </w:p>
        </w:tc>
        <w:tc>
          <w:tcPr>
            <w:tcW w:type="dxa" w:w="673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Exponential backoff, max 3 retries for AWS API failures. Dead-letter queue for persistent errors.</w:t>
            </w:r>
          </w:p>
        </w:tc>
      </w:tr>
    </w:tbl>
    <w:p>
      <w:pPr>
        <w:spacing w:after="120" w:before="0"/>
      </w:pPr>
    </w:p>
    <w:p>
      <w:pPr>
        <w:pStyle w:val="Heading2"/>
        <w:spacing w:after="80" w:before="240"/>
      </w:pPr>
      <w:r>
        <w:rPr>
          <w:rFonts w:ascii="Arial" w:cs="Arial" w:eastAsia="Arial" w:hAnsi="Arial"/>
          <w:b/>
          <w:bCs/>
          <w:color w:val="2563EB"/>
          <w:sz w:val="26"/>
          <w:szCs w:val="26"/>
        </w:rPr>
        <w:t xml:space="preserve">Core Service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808"/>
        <w:gridCol w:w="4493"/>
      </w:tblGrid>
      <w:tr>
        <w:trPr>
          <w:tblHeader/>
        </w:trPr>
        <w:tc>
          <w:tcPr>
            <w:tcW w:type="dxa" w:w="2059"/>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w:t>
            </w:r>
          </w:p>
        </w:tc>
        <w:tc>
          <w:tcPr>
            <w:tcW w:type="dxa" w:w="2808"/>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c>
          <w:tcPr>
            <w:tcW w:type="dxa" w:w="4493"/>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r>
      <w:tr>
        <w:tc>
          <w:tcPr>
            <w:tcW w:type="dxa" w:w="205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Heuristic Engine</w:t>
            </w:r>
          </w:p>
        </w:tc>
        <w:tc>
          <w:tcPr>
            <w:tcW w:type="dxa" w:w="280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app/services/heuristic.py</w:t>
            </w:r>
          </w:p>
        </w:tc>
        <w:tc>
          <w:tcPr>
            <w:tcW w:type="dxa" w:w="449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Rule-based scoring: e.g., CPU &lt; 5% = waste_score 80. Fast, no LLM cost.</w:t>
            </w:r>
          </w:p>
        </w:tc>
      </w:tr>
      <w:tr>
        <w:tc>
          <w:tcPr>
            <w:tcW w:type="dxa" w:w="205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AI Engine</w:t>
            </w:r>
          </w:p>
        </w:tc>
        <w:tc>
          <w:tcPr>
            <w:tcW w:type="dxa" w:w="2808"/>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app/services/ai_engine.py</w:t>
            </w:r>
          </w:p>
        </w:tc>
        <w:tc>
          <w:tcPr>
            <w:tcW w:type="dxa" w:w="4493"/>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LangChain + GPT-4 Turbo for deep analysis. Triggered when waste_score &gt; 70.</w:t>
            </w:r>
          </w:p>
        </w:tc>
      </w:tr>
      <w:tr>
        <w:tc>
          <w:tcPr>
            <w:tcW w:type="dxa" w:w="205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Remediation Engine</w:t>
            </w:r>
          </w:p>
        </w:tc>
        <w:tc>
          <w:tcPr>
            <w:tcW w:type="dxa" w:w="280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app/services/remediation.py</w:t>
            </w:r>
          </w:p>
        </w:tc>
        <w:tc>
          <w:tcPr>
            <w:tcW w:type="dxa" w:w="449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Translates recommendations into Terraform code. Calls terraform validate before surfacing.</w:t>
            </w:r>
          </w:p>
        </w:tc>
      </w:tr>
      <w:tr>
        <w:tc>
          <w:tcPr>
            <w:tcW w:type="dxa" w:w="205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Collector Service</w:t>
            </w:r>
          </w:p>
        </w:tc>
        <w:tc>
          <w:tcPr>
            <w:tcW w:type="dxa" w:w="2808"/>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app/collectors/</w:t>
            </w:r>
          </w:p>
        </w:tc>
        <w:tc>
          <w:tcPr>
            <w:tcW w:type="dxa" w:w="4493"/>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Service-oriented Boto3 wrappers for EC2, S3, RDS. Feeds analysis pipeline.</w:t>
            </w:r>
          </w:p>
        </w:tc>
      </w:tr>
      <w:tr>
        <w:tc>
          <w:tcPr>
            <w:tcW w:type="dxa" w:w="205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Event Bus</w:t>
            </w:r>
          </w:p>
        </w:tc>
        <w:tc>
          <w:tcPr>
            <w:tcW w:type="dxa" w:w="2808"/>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app/services/event_bus.py</w:t>
            </w:r>
          </w:p>
        </w:tc>
        <w:tc>
          <w:tcPr>
            <w:tcW w:type="dxa" w:w="449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Async message system for non-blocking background task dispatch.</w:t>
            </w:r>
          </w:p>
        </w:tc>
      </w:tr>
    </w:tbl>
    <w:p>
      <w:pPr>
        <w:spacing w:after="160" w:before="0"/>
      </w:pPr>
    </w:p>
    <w:p>
      <w:pPr>
        <w:pStyle w:val="Heading1"/>
        <w:pBdr>
          <w:bottom w:val="single" w:color="2563EB" w:sz="6" w:space="2"/>
        </w:pBdr>
        <w:spacing w:after="120" w:before="320"/>
      </w:pPr>
      <w:r>
        <w:rPr>
          <w:rFonts w:ascii="Arial" w:cs="Arial" w:eastAsia="Arial" w:hAnsi="Arial"/>
          <w:b/>
          <w:bCs/>
          <w:color w:val="0D1B3E"/>
          <w:sz w:val="32"/>
          <w:szCs w:val="32"/>
        </w:rPr>
        <w:t xml:space="preserve">15.  AI &amp; Automation Integration</w:t>
      </w:r>
    </w:p>
    <w:p>
      <w:pPr>
        <w:pStyle w:val="Heading2"/>
        <w:spacing w:after="80" w:before="240"/>
      </w:pPr>
      <w:r>
        <w:rPr>
          <w:rFonts w:ascii="Arial" w:cs="Arial" w:eastAsia="Arial" w:hAnsi="Arial"/>
          <w:b/>
          <w:bCs/>
          <w:color w:val="2563EB"/>
          <w:sz w:val="26"/>
          <w:szCs w:val="26"/>
        </w:rPr>
        <w:t xml:space="preserve">LangChain Orchestration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c>
          <w:tcPr>
            <w:tcW w:type="dxa" w:w="262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D1B3E"/>
                <w:sz w:val="20"/>
                <w:szCs w:val="20"/>
              </w:rPr>
              <w:t xml:space="preserve">Why LangChain</w:t>
            </w:r>
          </w:p>
        </w:tc>
        <w:tc>
          <w:tcPr>
            <w:tcW w:type="dxa" w:w="673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Abstracts LLM provider switching (OpenAI GPT-4o &lt;-&gt; Claude 3.5 Sonnet via Bedrock) and provides reusable chain primitives.</w:t>
            </w:r>
          </w:p>
        </w:tc>
      </w:tr>
      <w:tr>
        <w:tc>
          <w:tcPr>
            <w:tcW w:type="dxa" w:w="262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D1B3E"/>
                <w:sz w:val="20"/>
                <w:szCs w:val="20"/>
              </w:rPr>
              <w:t xml:space="preserve">Key Chains</w:t>
            </w:r>
          </w:p>
        </w:tc>
        <w:tc>
          <w:tcPr>
            <w:tcW w:type="dxa" w:w="673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ResourceAnalysisChain · TerraformGenerationChain · SavingsReasoningChain · ComplianceExplainerChain</w:t>
            </w:r>
          </w:p>
        </w:tc>
      </w:tr>
      <w:tr>
        <w:tc>
          <w:tcPr>
            <w:tcW w:type="dxa" w:w="262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D1B3E"/>
                <w:sz w:val="20"/>
                <w:szCs w:val="20"/>
              </w:rPr>
              <w:t xml:space="preserve">AI Logic Loop</w:t>
            </w:r>
          </w:p>
        </w:tc>
        <w:tc>
          <w:tcPr>
            <w:tcW w:type="dxa" w:w="673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Extract JSON metadata of Zombie Resource. 2. Send to LLM via LangChain with structured system prompt. 3. Validate generated Terraform in sandbox. 4. Surface to user approval queue.</w:t>
            </w:r>
          </w:p>
        </w:tc>
      </w:tr>
      <w:tr>
        <w:tc>
          <w:tcPr>
            <w:tcW w:type="dxa" w:w="2621"/>
            <w:tcBorders>
              <w:top w:val="single" w:color="D1D5DB" w:sz="1"/>
              <w:left w:val="single" w:color="D1D5DB" w:sz="1"/>
              <w:bottom w:val="single" w:color="D1D5DB" w:sz="1"/>
              <w:right w:val="single" w:color="D1D5DB" w:sz="1"/>
            </w:tcBorders>
            <w:shd w:fill="EFF6FF" w:val="clear"/>
            <w:tcMar>
              <w:top w:type="dxa" w:w="80"/>
              <w:left w:type="dxa" w:w="120"/>
              <w:bottom w:type="dxa" w:w="80"/>
              <w:right w:type="dxa" w:w="120"/>
            </w:tcMar>
          </w:tcPr>
          <w:p>
            <w:r>
              <w:rPr>
                <w:rFonts w:ascii="Arial" w:cs="Arial" w:eastAsia="Arial" w:hAnsi="Arial"/>
                <w:b/>
                <w:bCs/>
                <w:color w:val="0D1B3E"/>
                <w:sz w:val="20"/>
                <w:szCs w:val="20"/>
              </w:rPr>
              <w:t xml:space="preserve">Cost Optimization</w:t>
            </w:r>
          </w:p>
        </w:tc>
        <w:tc>
          <w:tcPr>
            <w:tcW w:type="dxa" w:w="673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Llama 3 (Ollama, local) handles lightweight metadata classification tasks to avoid LLM API costs for simple heuristics.</w:t>
            </w:r>
          </w:p>
        </w:tc>
      </w:tr>
    </w:tbl>
    <w:p>
      <w:pPr>
        <w:spacing w:after="160" w:before="0"/>
      </w:pPr>
    </w:p>
    <w:p>
      <w:pPr>
        <w:pStyle w:val="Heading1"/>
        <w:pBdr>
          <w:bottom w:val="single" w:color="2563EB" w:sz="6" w:space="2"/>
        </w:pBdr>
        <w:spacing w:after="120" w:before="320"/>
      </w:pPr>
      <w:r>
        <w:rPr>
          <w:rFonts w:ascii="Arial" w:cs="Arial" w:eastAsia="Arial" w:hAnsi="Arial"/>
          <w:b/>
          <w:bCs/>
          <w:color w:val="0D1B3E"/>
          <w:sz w:val="32"/>
          <w:szCs w:val="32"/>
        </w:rPr>
        <w:t xml:space="preserve">16.  Infrastructure &amp; Dev Setup</w:t>
      </w:r>
    </w:p>
    <w:p>
      <w:pPr>
        <w:pStyle w:val="Heading2"/>
        <w:spacing w:after="80" w:before="240"/>
      </w:pPr>
      <w:r>
        <w:rPr>
          <w:rFonts w:ascii="Arial" w:cs="Arial" w:eastAsia="Arial" w:hAnsi="Arial"/>
          <w:b/>
          <w:bCs/>
          <w:color w:val="2563EB"/>
          <w:sz w:val="26"/>
          <w:szCs w:val="26"/>
        </w:rPr>
        <w:t xml:space="preserve">Infrastructure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059"/>
        <w:gridCol w:w="5242"/>
      </w:tblGrid>
      <w:tr>
        <w:trPr>
          <w:tblHeader/>
        </w:trPr>
        <w:tc>
          <w:tcPr>
            <w:tcW w:type="dxa" w:w="2059"/>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059"/>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5242"/>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05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Database</w:t>
            </w:r>
          </w:p>
        </w:tc>
        <w:tc>
          <w:tcPr>
            <w:tcW w:type="dxa" w:w="205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PostgreSQL</w:t>
            </w:r>
          </w:p>
        </w:tc>
        <w:tc>
          <w:tcPr>
            <w:tcW w:type="dxa" w:w="524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User profiles, historical scan logs, compliance scores, application audit trail.</w:t>
            </w:r>
          </w:p>
        </w:tc>
      </w:tr>
      <w:tr>
        <w:tc>
          <w:tcPr>
            <w:tcW w:type="dxa" w:w="205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Cache</w:t>
            </w:r>
          </w:p>
        </w:tc>
        <w:tc>
          <w:tcPr>
            <w:tcW w:type="dxa" w:w="205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Redis</w:t>
            </w:r>
          </w:p>
        </w:tc>
        <w:tc>
          <w:tcPr>
            <w:tcW w:type="dxa" w:w="524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Real-time Compliance Index gauge updates and session data.</w:t>
            </w:r>
          </w:p>
        </w:tc>
      </w:tr>
      <w:tr>
        <w:tc>
          <w:tcPr>
            <w:tcW w:type="dxa" w:w="205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Auth</w:t>
            </w:r>
          </w:p>
        </w:tc>
        <w:tc>
          <w:tcPr>
            <w:tcW w:type="dxa" w:w="205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NextAuth.js or Clerk</w:t>
            </w:r>
          </w:p>
        </w:tc>
        <w:tc>
          <w:tcPr>
            <w:tcW w:type="dxa" w:w="524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Secure login with MFA. JWT token-based API auth.</w:t>
            </w:r>
          </w:p>
        </w:tc>
      </w:tr>
      <w:tr>
        <w:tc>
          <w:tcPr>
            <w:tcW w:type="dxa" w:w="205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Frontend Hosting</w:t>
            </w:r>
          </w:p>
        </w:tc>
        <w:tc>
          <w:tcPr>
            <w:tcW w:type="dxa" w:w="205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AWS Amplify</w:t>
            </w:r>
          </w:p>
        </w:tc>
        <w:tc>
          <w:tcPr>
            <w:tcW w:type="dxa" w:w="524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Fully managed CDN-backed Next.js hosting with CI/CD on push.</w:t>
            </w:r>
          </w:p>
        </w:tc>
      </w:tr>
      <w:tr>
        <w:tc>
          <w:tcPr>
            <w:tcW w:type="dxa" w:w="205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Backend Hosting</w:t>
            </w:r>
          </w:p>
        </w:tc>
        <w:tc>
          <w:tcPr>
            <w:tcW w:type="dxa" w:w="205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AWS App Runner</w:t>
            </w:r>
          </w:p>
        </w:tc>
        <w:tc>
          <w:tcPr>
            <w:tcW w:type="dxa" w:w="524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Auto-scaling containerized FastAPI. No infrastructure management.</w:t>
            </w:r>
          </w:p>
        </w:tc>
      </w:tr>
      <w:tr>
        <w:tc>
          <w:tcPr>
            <w:tcW w:type="dxa" w:w="205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Secrets</w:t>
            </w:r>
          </w:p>
        </w:tc>
        <w:tc>
          <w:tcPr>
            <w:tcW w:type="dxa" w:w="2059"/>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AWS Secrets Manager</w:t>
            </w:r>
          </w:p>
        </w:tc>
        <w:tc>
          <w:tcPr>
            <w:tcW w:type="dxa" w:w="5242"/>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IAM Role ARNs, API keys, DB credentials. Zero plaintext policy.</w:t>
            </w:r>
          </w:p>
        </w:tc>
      </w:tr>
      <w:tr>
        <w:tc>
          <w:tcPr>
            <w:tcW w:type="dxa" w:w="205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Monitoring</w:t>
            </w:r>
          </w:p>
        </w:tc>
        <w:tc>
          <w:tcPr>
            <w:tcW w:type="dxa" w:w="2059"/>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AWS CloudWatch</w:t>
            </w:r>
          </w:p>
        </w:tc>
        <w:tc>
          <w:tcPr>
            <w:tcW w:type="dxa" w:w="5242"/>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Infrastructure metrics, Lambda execution logs, Celery worker health.</w:t>
            </w:r>
          </w:p>
        </w:tc>
      </w:tr>
    </w:tbl>
    <w:p>
      <w:pPr>
        <w:spacing w:after="160" w:before="0"/>
      </w:pPr>
    </w:p>
    <w:p>
      <w:pPr>
        <w:pStyle w:val="Heading2"/>
        <w:spacing w:after="80" w:before="240"/>
      </w:pPr>
      <w:r>
        <w:rPr>
          <w:rFonts w:ascii="Arial" w:cs="Arial" w:eastAsia="Arial" w:hAnsi="Arial"/>
          <w:b/>
          <w:bCs/>
          <w:color w:val="2563EB"/>
          <w:sz w:val="26"/>
          <w:szCs w:val="26"/>
        </w:rPr>
        <w:t xml:space="preserve">Environment Configuration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1B3E" w:sz="12"/>
              <w:bottom w:val="none" w:color="FFFFFF" w:sz="0"/>
              <w:right w:val="none" w:color="FFFFFF" w:sz="0"/>
            </w:tcBorders>
            <w:shd w:fill="F3F4F6" w:val="clear"/>
            <w:tcMar>
              <w:top w:type="dxa" w:w="80"/>
              <w:left w:type="dxa" w:w="200"/>
              <w:bottom w:type="dxa" w:w="40"/>
              <w:right w:type="dxa" w:w="120"/>
            </w:tcMar>
          </w:tcPr>
          <w:p>
            <w:r>
              <w:rPr>
                <w:rFonts w:ascii="Arial" w:cs="Arial" w:eastAsia="Arial" w:hAnsi="Arial"/>
                <w:b/>
                <w:bCs/>
                <w:color w:val="0D1B3E"/>
                <w:sz w:val="22"/>
                <w:szCs w:val="22"/>
              </w:rPr>
              <w:t xml:space="preserve">Backend .env (Required Variables)</w:t>
            </w:r>
          </w:p>
        </w:tc>
      </w:tr>
      <w:tr>
        <w:tc>
          <w:tcPr>
            <w:tcW w:type="dxa" w:w="9360"/>
            <w:tcBorders>
              <w:top w:val="none" w:color="FFFFFF" w:sz="0"/>
              <w:left w:val="single" w:color="0D1B3E" w:sz="12"/>
              <w:bottom w:val="none" w:color="FFFFFF" w:sz="0"/>
              <w:right w:val="none" w:color="FFFFFF" w:sz="0"/>
            </w:tcBorders>
            <w:shd w:fill="F3F4F6" w:val="clear"/>
            <w:tcMar>
              <w:top w:type="dxa" w:w="20"/>
              <w:left w:type="dxa" w:w="200"/>
              <w:bottom w:type="dxa" w:w="100"/>
              <w:right w:type="dxa" w:w="120"/>
            </w:tcMar>
          </w:tcPr>
          <w:p>
            <w:r>
              <w:rPr>
                <w:rFonts w:ascii="Arial" w:cs="Arial" w:eastAsia="Arial" w:hAnsi="Arial"/>
                <w:color w:val="374151"/>
                <w:sz w:val="22"/>
                <w:szCs w:val="22"/>
              </w:rPr>
              <w:t xml:space="preserve">DATABASE_URL=postgresql://user:password@localhost:5432/cloudpulse
REDIS_URL=redis://localhost:6379/0
OPENAI_API_KEY=sk-proj-...
AWS_REGION=us-east-1
AWS_PROFILE=cloudpulse-dev
NOTE: Use IAM Roles (not static credentials) in production. Never commit AWS_ACCESS_KEY_ID or AWS_SECRET_ACCESS_KEY to version control.</w:t>
            </w:r>
          </w:p>
        </w:tc>
      </w:tr>
    </w:tbl>
    <w:p>
      <w:pPr>
        <w:spacing w:after="120" w:before="0"/>
      </w:pPr>
    </w:p>
    <w:p>
      <w:pPr>
        <w:pStyle w:val="Heading2"/>
        <w:spacing w:after="80" w:before="240"/>
      </w:pPr>
      <w:r>
        <w:rPr>
          <w:rFonts w:ascii="Arial" w:cs="Arial" w:eastAsia="Arial" w:hAnsi="Arial"/>
          <w:b/>
          <w:bCs/>
          <w:color w:val="2563EB"/>
          <w:sz w:val="26"/>
          <w:szCs w:val="26"/>
        </w:rPr>
        <w:t xml:space="preserve">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5803"/>
      </w:tblGrid>
      <w:tr>
        <w:trPr>
          <w:tblHeader/>
        </w:trPr>
        <w:tc>
          <w:tcPr>
            <w:tcW w:type="dxa" w:w="3557"/>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5803"/>
            <w:tcBorders>
              <w:top w:val="single" w:color="2563EB" w:sz="1"/>
              <w:left w:val="single" w:color="2563EB" w:sz="1"/>
              <w:bottom w:val="single" w:color="2563EB" w:sz="1"/>
              <w:right w:val="single" w:color="2563EB" w:sz="1"/>
            </w:tcBorders>
            <w:shd w:fill="0D1B3E"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r>
      <w:tr>
        <w:tc>
          <w:tcPr>
            <w:tcW w:type="dxa" w:w="355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backend/app/api/routers.py</w:t>
            </w:r>
          </w:p>
        </w:tc>
        <w:tc>
          <w:tcPr>
            <w:tcW w:type="dxa" w:w="580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Auth, Dashboard, Resources, and Remediation API route handlers</w:t>
            </w:r>
          </w:p>
        </w:tc>
      </w:tr>
      <w:tr>
        <w:tc>
          <w:tcPr>
            <w:tcW w:type="dxa" w:w="3557"/>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backend/app/services/</w:t>
            </w:r>
          </w:p>
        </w:tc>
        <w:tc>
          <w:tcPr>
            <w:tcW w:type="dxa" w:w="5803"/>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AI Engine, Heuristic Engine, Remediation Engine, Event Bus</w:t>
            </w:r>
          </w:p>
        </w:tc>
      </w:tr>
      <w:tr>
        <w:tc>
          <w:tcPr>
            <w:tcW w:type="dxa" w:w="355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backend/app/collectors/</w:t>
            </w:r>
          </w:p>
        </w:tc>
        <w:tc>
          <w:tcPr>
            <w:tcW w:type="dxa" w:w="580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Boto3 wrappers: EC2, S3, RDS, Cost Explorer, CloudWatch</w:t>
            </w:r>
          </w:p>
        </w:tc>
      </w:tr>
      <w:tr>
        <w:tc>
          <w:tcPr>
            <w:tcW w:type="dxa" w:w="3557"/>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backend/app/models/</w:t>
            </w:r>
          </w:p>
        </w:tc>
        <w:tc>
          <w:tcPr>
            <w:tcW w:type="dxa" w:w="5803"/>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SQLAlchemy DB schemas: User, Resource, Scan, Application</w:t>
            </w:r>
          </w:p>
        </w:tc>
      </w:tr>
      <w:tr>
        <w:tc>
          <w:tcPr>
            <w:tcW w:type="dxa" w:w="355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backend/app/tasks/</w:t>
            </w:r>
          </w:p>
        </w:tc>
        <w:tc>
          <w:tcPr>
            <w:tcW w:type="dxa" w:w="580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Celery workers for background scan and execution jobs</w:t>
            </w:r>
          </w:p>
        </w:tc>
      </w:tr>
      <w:tr>
        <w:tc>
          <w:tcPr>
            <w:tcW w:type="dxa" w:w="3557"/>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frontend-next/src/app/</w:t>
            </w:r>
          </w:p>
        </w:tc>
        <w:tc>
          <w:tcPr>
            <w:tcW w:type="dxa" w:w="5803"/>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Next.js App Router pages: dashboard, resources, recommendations, settings</w:t>
            </w:r>
          </w:p>
        </w:tc>
      </w:tr>
      <w:tr>
        <w:tc>
          <w:tcPr>
            <w:tcW w:type="dxa" w:w="3557"/>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frontend-next/src/components/</w:t>
            </w:r>
          </w:p>
        </w:tc>
        <w:tc>
          <w:tcPr>
            <w:tcW w:type="dxa" w:w="580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r>
              <w:rPr>
                <w:rFonts w:ascii="Arial" w:cs="Arial" w:eastAsia="Arial" w:hAnsi="Arial"/>
                <w:color w:val="374151"/>
                <w:sz w:val="20"/>
                <w:szCs w:val="20"/>
              </w:rPr>
              <w:t xml:space="preserve">UI Components: GlassCard, ComplianceGauge, CostHeatmap, ResourceTable</w:t>
            </w:r>
          </w:p>
        </w:tc>
      </w:tr>
      <w:tr>
        <w:tc>
          <w:tcPr>
            <w:tcW w:type="dxa" w:w="3557"/>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docker-compose.yml</w:t>
            </w:r>
          </w:p>
        </w:tc>
        <w:tc>
          <w:tcPr>
            <w:tcW w:type="dxa" w:w="5803"/>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r>
              <w:rPr>
                <w:rFonts w:ascii="Arial" w:cs="Arial" w:eastAsia="Arial" w:hAnsi="Arial"/>
                <w:color w:val="374151"/>
                <w:sz w:val="20"/>
                <w:szCs w:val="20"/>
              </w:rPr>
              <w:t xml:space="preserve">Orchestration for Redis, PostgreSQL, and FastAPI backend</w:t>
            </w:r>
          </w:p>
        </w:tc>
      </w:tr>
    </w:tbl>
    <w:p>
      <w:pPr>
        <w:spacing w:after="160" w:before="0"/>
      </w:pPr>
    </w:p>
    <w:p>
      <w:pPr>
        <w:pStyle w:val="Heading2"/>
        <w:spacing w:after="80" w:before="240"/>
      </w:pPr>
      <w:r>
        <w:rPr>
          <w:rFonts w:ascii="Arial" w:cs="Arial" w:eastAsia="Arial" w:hAnsi="Arial"/>
          <w:b/>
          <w:bCs/>
          <w:color w:val="2563EB"/>
          <w:sz w:val="26"/>
          <w:szCs w:val="26"/>
        </w:rPr>
        <w:t xml:space="preserve">Implementation Note — Starting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F4444" w:sz="12"/>
              <w:bottom w:val="none" w:color="FFFFFF" w:sz="0"/>
              <w:right w:val="none" w:color="FFFFFF" w:sz="0"/>
            </w:tcBorders>
            <w:shd w:fill="FEF2F2" w:val="clear"/>
            <w:tcMar>
              <w:top w:type="dxa" w:w="80"/>
              <w:left w:type="dxa" w:w="200"/>
              <w:bottom w:type="dxa" w:w="40"/>
              <w:right w:type="dxa" w:w="120"/>
            </w:tcMar>
          </w:tcPr>
          <w:p>
            <w:r>
              <w:rPr>
                <w:rFonts w:ascii="Arial" w:cs="Arial" w:eastAsia="Arial" w:hAnsi="Arial"/>
                <w:b/>
                <w:bCs/>
                <w:color w:val="0D1B3E"/>
                <w:sz w:val="22"/>
                <w:szCs w:val="22"/>
              </w:rPr>
              <w:t xml:space="preserve">Recommended First Step for Security Engineers</w:t>
            </w:r>
          </w:p>
        </w:tc>
      </w:tr>
      <w:tr>
        <w:tc>
          <w:tcPr>
            <w:tcW w:type="dxa" w:w="9360"/>
            <w:tcBorders>
              <w:top w:val="none" w:color="FFFFFF" w:sz="0"/>
              <w:left w:val="single" w:color="EF4444" w:sz="12"/>
              <w:bottom w:val="none" w:color="FFFFFF" w:sz="0"/>
              <w:right w:val="none" w:color="FFFFFF" w:sz="0"/>
            </w:tcBorders>
            <w:shd w:fill="FEF2F2" w:val="clear"/>
            <w:tcMar>
              <w:top w:type="dxa" w:w="20"/>
              <w:left w:type="dxa" w:w="200"/>
              <w:bottom w:type="dxa" w:w="100"/>
              <w:right w:type="dxa" w:w="120"/>
            </w:tcMar>
          </w:tcPr>
          <w:p>
            <w:r>
              <w:rPr>
                <w:rFonts w:ascii="Arial" w:cs="Arial" w:eastAsia="Arial" w:hAnsi="Arial"/>
                <w:color w:val="374151"/>
                <w:sz w:val="22"/>
                <w:szCs w:val="22"/>
              </w:rPr>
              <w:t xml:space="preserve">Begin with the Backend IAM Policies before writing any application code. Define a 'Security Auditor' IAM Role with List and Describe permissions only, and explicitly Deny all Delete and Modify actions. This ensures the AI remediation engine cannot accidentally wipe production infrastructure during development and testing phases. Only add scoped Write permissions once the heuristic scoring engine has been validated against a staging environment.</w:t>
            </w:r>
          </w:p>
        </w:tc>
      </w:tr>
    </w:tbl>
    <w:p>
      <w:pPr>
        <w:spacing w:after="240" w:before="0"/>
      </w:pPr>
    </w:p>
    <w:p>
      <w:pPr>
        <w:pBdr>
          <w:top w:val="single" w:color="D1D5DB" w:sz="4" w:space="2"/>
          <w:bottom w:val="single" w:color="D1D5DB" w:sz="4" w:space="2"/>
        </w:pBdr>
        <w:spacing w:after="120" w:before="120"/>
        <w:jc w:val="center"/>
      </w:pPr>
      <w:r>
        <w:rPr>
          <w:rFonts w:ascii="Arial" w:cs="Arial" w:eastAsia="Arial" w:hAnsi="Arial"/>
          <w:i/>
          <w:iCs/>
          <w:color w:val="374151"/>
          <w:sz w:val="18"/>
          <w:szCs w:val="18"/>
        </w:rPr>
        <w:t xml:space="preserve">This document supersedes all prior individual specifications for Project CloudPulse Pro.  ·  v2.0  ·  Yashvardhan Mishra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2"/>
      </w:pBdr>
      <w:tabs>
        <w:tab w:val="right" w:pos="9360"/>
      </w:tabs>
      <w:spacing w:after="0" w:before="100"/>
    </w:pPr>
    <w:r>
      <w:rPr>
        <w:rFonts w:ascii="Arial" w:cs="Arial" w:eastAsia="Arial" w:hAnsi="Arial"/>
        <w:color w:val="374151"/>
        <w:sz w:val="18"/>
        <w:szCs w:val="18"/>
      </w:rPr>
      <w:t xml:space="preserve">CONFIDENTIAL  ·  For Internal Use Only</w:t>
    </w:r>
    <w:r>
      <w:rPr>
        <w:rFonts w:ascii="Arial" w:cs="Arial" w:eastAsia="Arial" w:hAnsi="Arial"/>
        <w:color w:val="374151"/>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2"/>
      </w:pBdr>
      <w:tabs>
        <w:tab w:val="right" w:pos="9360"/>
      </w:tabs>
      <w:spacing w:after="100" w:before="0"/>
    </w:pPr>
    <w:r>
      <w:rPr>
        <w:rFonts w:ascii="Arial" w:cs="Arial" w:eastAsia="Arial" w:hAnsi="Arial"/>
        <w:b/>
        <w:bCs/>
        <w:color w:val="0D1B3E"/>
        <w:sz w:val="18"/>
        <w:szCs w:val="18"/>
      </w:rPr>
      <w:t xml:space="preserve">PROJECT CLOUDPULSE PRO</w:t>
    </w:r>
    <w:r>
      <w:rPr>
        <w:rFonts w:ascii="Arial" w:cs="Arial" w:eastAsia="Arial" w:hAnsi="Arial"/>
        <w:color w:val="374151"/>
        <w:sz w:val="18"/>
        <w:szCs w:val="18"/>
      </w:rPr>
      <w:t xml:space="preserve">	UNIFIED TECHNICAL REFERENCE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0D1B3E"/>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563EB"/>
      <w:sz w:val="26"/>
      <w:szCs w:val="26"/>
    </w:rPr>
  </w:style>
  <w:style w:type="paragraph" w:styleId="Heading3">
    <w:name w:val="Heading 3"/>
    <w:basedOn w:val="Normal"/>
    <w:next w:val="Normal"/>
    <w:qFormat/>
    <w:pPr>
      <w:spacing w:after="60" w:before="16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2026-04-20T21:01:39.881Z</dcterms:created>
  <dcterms:modified xsi:type="dcterms:W3CDTF">2026-04-20T21:01:39.881Z</dcterms:modified>
</cp:coreProperties>
</file>

<file path=docProps/custom.xml><?xml version="1.0" encoding="utf-8"?>
<Properties xmlns="http://schemas.openxmlformats.org/officeDocument/2006/custom-properties" xmlns:vt="http://schemas.openxmlformats.org/officeDocument/2006/docPropsVTypes"/>
</file>