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D020" w14:textId="77777777" w:rsidR="00D05DFE" w:rsidRDefault="00B71E47">
      <w:pPr>
        <w:spacing w:after="2" w:line="216" w:lineRule="auto"/>
        <w:ind w:left="0" w:firstLine="0"/>
        <w:jc w:val="center"/>
        <w:rPr>
          <w:b/>
          <w:color w:val="1A1A2E"/>
          <w:sz w:val="34"/>
        </w:rPr>
      </w:pPr>
      <w:r>
        <w:rPr>
          <w:b/>
          <w:color w:val="1A1A2E"/>
          <w:sz w:val="34"/>
        </w:rPr>
        <w:t>The Fork in the Road: How LibreOffice Was Born from a Crisis of Trust</w:t>
      </w:r>
    </w:p>
    <w:p w14:paraId="54A9116F" w14:textId="77777777" w:rsidR="00A543BF" w:rsidRDefault="00A543BF">
      <w:pPr>
        <w:spacing w:after="2" w:line="216" w:lineRule="auto"/>
        <w:ind w:left="0" w:firstLine="0"/>
        <w:jc w:val="center"/>
      </w:pPr>
    </w:p>
    <w:p w14:paraId="7ED23011" w14:textId="77777777" w:rsidR="00D05DFE" w:rsidRDefault="00B71E47">
      <w:pPr>
        <w:spacing w:after="1" w:line="259" w:lineRule="auto"/>
        <w:ind w:left="0" w:firstLine="0"/>
        <w:jc w:val="center"/>
      </w:pPr>
      <w:r>
        <w:rPr>
          <w:color w:val="444444"/>
        </w:rPr>
        <w:t>A Case Study in Open Source Governance, Community, and the Ethics of Control</w:t>
      </w:r>
    </w:p>
    <w:p w14:paraId="608AF136" w14:textId="77777777" w:rsidR="00D05DFE" w:rsidRDefault="00B71E47">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1404A6C0" wp14:editId="117DDBE9">
                <wp:extent cx="5607600" cy="19050"/>
                <wp:effectExtent l="0" t="0" r="0" b="0"/>
                <wp:docPr id="6630" name="Group 663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 name="Shape 9"/>
                        <wps:cNvSpPr/>
                        <wps:spPr>
                          <a:xfrm>
                            <a:off x="0" y="0"/>
                            <a:ext cx="5607600" cy="0"/>
                          </a:xfrm>
                          <a:custGeom>
                            <a:avLst/>
                            <a:gdLst/>
                            <a:ahLst/>
                            <a:cxnLst/>
                            <a:rect l="0" t="0" r="0" b="0"/>
                            <a:pathLst>
                              <a:path w="5607600">
                                <a:moveTo>
                                  <a:pt x="0" y="0"/>
                                </a:moveTo>
                                <a:lnTo>
                                  <a:pt x="5607600" y="0"/>
                                </a:lnTo>
                              </a:path>
                            </a:pathLst>
                          </a:custGeom>
                          <a:ln w="1905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30" style="width:441.543pt;height:1.5pt;mso-position-horizontal-relative:char;mso-position-vertical-relative:line" coordsize="56076,190">
                <v:shape id="Shape 9" style="position:absolute;width:56076;height:0;left:0;top:0;" coordsize="5607600,0" path="m0,0l5607600,0">
                  <v:stroke weight="1.5pt" endcap="round" joinstyle="miter" miterlimit="10" on="true" color="#1a1a2e"/>
                  <v:fill on="false" color="#000000" opacity="0"/>
                </v:shape>
              </v:group>
            </w:pict>
          </mc:Fallback>
        </mc:AlternateContent>
      </w:r>
    </w:p>
    <w:p w14:paraId="4D549A54" w14:textId="77777777" w:rsidR="00D05DFE" w:rsidRDefault="00B71E47">
      <w:pPr>
        <w:spacing w:after="52" w:line="259" w:lineRule="auto"/>
        <w:jc w:val="center"/>
      </w:pPr>
      <w:r>
        <w:rPr>
          <w:color w:val="666666"/>
          <w:sz w:val="20"/>
        </w:rPr>
        <w:t>Yashvi Kumari   |   24BCY10091</w:t>
      </w:r>
    </w:p>
    <w:p w14:paraId="41B17011" w14:textId="77777777" w:rsidR="00D05DFE" w:rsidRDefault="00B71E47">
      <w:pPr>
        <w:spacing w:after="52" w:line="259" w:lineRule="auto"/>
        <w:jc w:val="center"/>
      </w:pPr>
      <w:r>
        <w:rPr>
          <w:color w:val="666666"/>
          <w:sz w:val="20"/>
        </w:rPr>
        <w:t>Course: Open Source Software   |   Individual Case Study</w:t>
      </w:r>
    </w:p>
    <w:p w14:paraId="4F251710" w14:textId="77777777" w:rsidR="00D05DFE" w:rsidRDefault="00B71E47">
      <w:pPr>
        <w:spacing w:after="0" w:line="259" w:lineRule="auto"/>
        <w:jc w:val="center"/>
      </w:pPr>
      <w:r>
        <w:rPr>
          <w:color w:val="666666"/>
          <w:sz w:val="20"/>
        </w:rPr>
        <w:t>Submission Date: 31st March, 2026</w:t>
      </w:r>
    </w:p>
    <w:p w14:paraId="5CF2A750" w14:textId="77777777" w:rsidR="00D05DFE" w:rsidRDefault="00B71E47">
      <w:pPr>
        <w:spacing w:after="720" w:line="259" w:lineRule="auto"/>
        <w:ind w:left="0" w:firstLine="0"/>
        <w:jc w:val="left"/>
      </w:pPr>
      <w:r>
        <w:rPr>
          <w:rFonts w:ascii="Calibri" w:eastAsia="Calibri" w:hAnsi="Calibri" w:cs="Calibri"/>
          <w:noProof/>
          <w:color w:val="000000"/>
        </w:rPr>
        <mc:AlternateContent>
          <mc:Choice Requires="wpg">
            <w:drawing>
              <wp:inline distT="0" distB="0" distL="0" distR="0" wp14:anchorId="246A2A0D" wp14:editId="17DBF53D">
                <wp:extent cx="5607600" cy="6350"/>
                <wp:effectExtent l="0" t="0" r="0" b="0"/>
                <wp:docPr id="6631" name="Group 6631"/>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13" name="Shape 13"/>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31" style="width:441.543pt;height:0.5pt;mso-position-horizontal-relative:char;mso-position-vertical-relative:line" coordsize="56076,63">
                <v:shape id="Shape 13" style="position:absolute;width:56076;height:0;left:0;top:0;" coordsize="5607600,0" path="m0,0l5607600,0">
                  <v:stroke weight="0.5pt" endcap="round" joinstyle="miter" miterlimit="10" on="true" color="#cccccc"/>
                  <v:fill on="false" color="#000000" opacity="0"/>
                </v:shape>
              </v:group>
            </w:pict>
          </mc:Fallback>
        </mc:AlternateContent>
      </w:r>
    </w:p>
    <w:p w14:paraId="6409947B" w14:textId="77777777" w:rsidR="00D05DFE" w:rsidRDefault="00B71E47">
      <w:pPr>
        <w:pStyle w:val="Heading1"/>
        <w:ind w:left="-5"/>
      </w:pPr>
      <w:r>
        <w:t>Part 1: Background — The World Before LibreOffice</w:t>
      </w:r>
    </w:p>
    <w:p w14:paraId="5E922C84" w14:textId="77777777" w:rsidR="00D05DFE" w:rsidRDefault="00B71E47">
      <w:pPr>
        <w:spacing w:after="379" w:line="259" w:lineRule="auto"/>
        <w:ind w:left="0" w:firstLine="0"/>
        <w:jc w:val="left"/>
      </w:pPr>
      <w:r>
        <w:rPr>
          <w:rFonts w:ascii="Calibri" w:eastAsia="Calibri" w:hAnsi="Calibri" w:cs="Calibri"/>
          <w:noProof/>
          <w:color w:val="000000"/>
        </w:rPr>
        <mc:AlternateContent>
          <mc:Choice Requires="wpg">
            <w:drawing>
              <wp:inline distT="0" distB="0" distL="0" distR="0" wp14:anchorId="6C5BE7B2" wp14:editId="1CD47CE5">
                <wp:extent cx="5607600" cy="8890"/>
                <wp:effectExtent l="0" t="0" r="0" b="0"/>
                <wp:docPr id="6632" name="Group 6632"/>
                <wp:cNvGraphicFramePr/>
                <a:graphic xmlns:a="http://schemas.openxmlformats.org/drawingml/2006/main">
                  <a:graphicData uri="http://schemas.microsoft.com/office/word/2010/wordprocessingGroup">
                    <wpg:wgp>
                      <wpg:cNvGrpSpPr/>
                      <wpg:grpSpPr>
                        <a:xfrm>
                          <a:off x="0" y="0"/>
                          <a:ext cx="5607600" cy="8890"/>
                          <a:chOff x="0" y="0"/>
                          <a:chExt cx="5607600" cy="8890"/>
                        </a:xfrm>
                      </wpg:grpSpPr>
                      <wps:wsp>
                        <wps:cNvPr id="15" name="Shape 15"/>
                        <wps:cNvSpPr/>
                        <wps:spPr>
                          <a:xfrm>
                            <a:off x="0" y="0"/>
                            <a:ext cx="5607600" cy="0"/>
                          </a:xfrm>
                          <a:custGeom>
                            <a:avLst/>
                            <a:gdLst/>
                            <a:ahLst/>
                            <a:cxnLst/>
                            <a:rect l="0" t="0" r="0" b="0"/>
                            <a:pathLst>
                              <a:path w="5607600">
                                <a:moveTo>
                                  <a:pt x="0" y="0"/>
                                </a:moveTo>
                                <a:lnTo>
                                  <a:pt x="5607600" y="0"/>
                                </a:lnTo>
                              </a:path>
                            </a:pathLst>
                          </a:custGeom>
                          <a:ln w="889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32" style="width:441.543pt;height:0.7pt;mso-position-horizontal-relative:char;mso-position-vertical-relative:line" coordsize="56076,88">
                <v:shape id="Shape 15" style="position:absolute;width:56076;height:0;left:0;top:0;" coordsize="5607600,0" path="m0,0l5607600,0">
                  <v:stroke weight="0.7pt" endcap="round" joinstyle="miter" miterlimit="10" on="true" color="#1a1a2e"/>
                  <v:fill on="false" color="#000000" opacity="0"/>
                </v:shape>
              </v:group>
            </w:pict>
          </mc:Fallback>
        </mc:AlternateContent>
      </w:r>
    </w:p>
    <w:p w14:paraId="28C2AB22" w14:textId="77777777" w:rsidR="00D05DFE" w:rsidRDefault="00B71E47">
      <w:pPr>
        <w:pStyle w:val="Heading2"/>
        <w:ind w:left="-5"/>
      </w:pPr>
      <w:r>
        <w:t>1.1 StarOffice and the Promise of a Free Alternative</w:t>
      </w:r>
    </w:p>
    <w:p w14:paraId="4F2BEF66" w14:textId="77777777" w:rsidR="00D05DFE" w:rsidRDefault="00B71E47">
      <w:pPr>
        <w:ind w:left="-5" w:right="-15"/>
      </w:pPr>
      <w:r>
        <w:t>In the late 1990s, Microsoft Office held an iron grip on the desktop software market. It was expensive, tied to Windows, and built on proprietary file formats that locked users in — if you opened a Word document anywhere other than Word, you were taking a risk. For universities, governments, and individuals in the developing world, this was not just inconvenient; it was a structural barrier to participation in the digital economy.</w:t>
      </w:r>
    </w:p>
    <w:p w14:paraId="638BF0CC" w14:textId="77777777" w:rsidR="00D05DFE" w:rsidRDefault="00B71E47">
      <w:pPr>
        <w:spacing w:after="0"/>
        <w:ind w:left="-5" w:right="-15"/>
      </w:pPr>
      <w:r>
        <w:t>In 1999, Sun Microsystems made a decision that genuinely surprised the industry. It acquired a German company called Star Division, which had built a competing office suite called StarOffice, and then open-sourced the entire codebase under the name OpenOffice.org. For the first time, there was a credible, free, cross-platform alternative to</w:t>
      </w:r>
    </w:p>
    <w:p w14:paraId="0AA1ACA9" w14:textId="77777777" w:rsidR="00D05DFE" w:rsidRDefault="00B71E47">
      <w:pPr>
        <w:spacing w:after="240"/>
        <w:ind w:left="-5" w:right="-15"/>
      </w:pPr>
      <w:r>
        <w:t>Microsoft Office. It could read and write Word, Excel, and PowerPoint files. It ran on Linux, Windows, and macOS. Governments and educational institutions across the world adopted it enthusiastically, and by the mid-2000s it had tens of millions of users. By most measures, it was a genuine open source success story.</w:t>
      </w:r>
    </w:p>
    <w:p w14:paraId="77698E1B" w14:textId="77777777" w:rsidR="00D05DFE" w:rsidRDefault="00B71E47">
      <w:pPr>
        <w:pStyle w:val="Heading2"/>
        <w:ind w:left="-5"/>
      </w:pPr>
      <w:r>
        <w:t>1.2 The Governance Problem Nobody Wanted to Talk About</w:t>
      </w:r>
    </w:p>
    <w:p w14:paraId="277DA349" w14:textId="77777777" w:rsidR="00D05DFE" w:rsidRDefault="00B71E47">
      <w:pPr>
        <w:ind w:left="-5" w:right="-15"/>
      </w:pPr>
      <w:r>
        <w:t>Beneath the surface, however, there was a structural problem that experienced contributors had noticed for years but largely chosen not to confront. Sun Microsystems controlled OpenOffice.org in ways that went well beyond what healthy open source governance looked like. Every developer who wanted to contribute code had to sign a Joint Copyright Assignment agreement, which meant the code they wrote on their own time legally became Sun's property — jointly owned in name, but with Sun holding the real authorit</w:t>
      </w:r>
      <w:r>
        <w:t>y over what happened to it. The release schedule, the roadmap, the final decisions about which features made it into the product — all of this sat with Sun's employees, not with the volunteer community.</w:t>
      </w:r>
    </w:p>
    <w:p w14:paraId="19EDFC91" w14:textId="77777777" w:rsidR="00D05DFE" w:rsidRDefault="00B71E47">
      <w:pPr>
        <w:spacing w:after="440"/>
        <w:ind w:left="-5" w:right="-15"/>
      </w:pPr>
      <w:r>
        <w:lastRenderedPageBreak/>
        <w:t>For many contributors, this felt like a quiet betrayal of the open source philosophy. They were giving their time and skills freely, while the ultimate beneficiary was a corporation that had not written most of the code. The community grumbled, but as long as Sun remained a relatively benign steward — and it largely did — most people stayed. Then, in 2010, everything changed.</w:t>
      </w:r>
    </w:p>
    <w:p w14:paraId="59FF005F" w14:textId="77777777" w:rsidR="00D05DFE" w:rsidRDefault="00B71E47">
      <w:pPr>
        <w:pStyle w:val="Heading1"/>
        <w:ind w:left="-5"/>
      </w:pPr>
      <w:r>
        <w:t>Part 2: The Trigger — Oracle Acquires Sun</w:t>
      </w:r>
    </w:p>
    <w:p w14:paraId="26BE111C" w14:textId="77777777" w:rsidR="00D05DFE" w:rsidRDefault="00B71E47">
      <w:pPr>
        <w:spacing w:after="379" w:line="259" w:lineRule="auto"/>
        <w:ind w:left="0" w:firstLine="0"/>
        <w:jc w:val="left"/>
      </w:pPr>
      <w:r>
        <w:rPr>
          <w:rFonts w:ascii="Calibri" w:eastAsia="Calibri" w:hAnsi="Calibri" w:cs="Calibri"/>
          <w:noProof/>
          <w:color w:val="000000"/>
        </w:rPr>
        <mc:AlternateContent>
          <mc:Choice Requires="wpg">
            <w:drawing>
              <wp:inline distT="0" distB="0" distL="0" distR="0" wp14:anchorId="1EC81FF4" wp14:editId="7E7EA768">
                <wp:extent cx="5607600" cy="8890"/>
                <wp:effectExtent l="0" t="0" r="0" b="0"/>
                <wp:docPr id="6531" name="Group 6531"/>
                <wp:cNvGraphicFramePr/>
                <a:graphic xmlns:a="http://schemas.openxmlformats.org/drawingml/2006/main">
                  <a:graphicData uri="http://schemas.microsoft.com/office/word/2010/wordprocessingGroup">
                    <wpg:wgp>
                      <wpg:cNvGrpSpPr/>
                      <wpg:grpSpPr>
                        <a:xfrm>
                          <a:off x="0" y="0"/>
                          <a:ext cx="5607600" cy="8890"/>
                          <a:chOff x="0" y="0"/>
                          <a:chExt cx="5607600" cy="8890"/>
                        </a:xfrm>
                      </wpg:grpSpPr>
                      <wps:wsp>
                        <wps:cNvPr id="52" name="Shape 52"/>
                        <wps:cNvSpPr/>
                        <wps:spPr>
                          <a:xfrm>
                            <a:off x="0" y="0"/>
                            <a:ext cx="5607600" cy="0"/>
                          </a:xfrm>
                          <a:custGeom>
                            <a:avLst/>
                            <a:gdLst/>
                            <a:ahLst/>
                            <a:cxnLst/>
                            <a:rect l="0" t="0" r="0" b="0"/>
                            <a:pathLst>
                              <a:path w="5607600">
                                <a:moveTo>
                                  <a:pt x="0" y="0"/>
                                </a:moveTo>
                                <a:lnTo>
                                  <a:pt x="5607600" y="0"/>
                                </a:lnTo>
                              </a:path>
                            </a:pathLst>
                          </a:custGeom>
                          <a:ln w="889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31" style="width:441.543pt;height:0.7pt;mso-position-horizontal-relative:char;mso-position-vertical-relative:line" coordsize="56076,88">
                <v:shape id="Shape 52" style="position:absolute;width:56076;height:0;left:0;top:0;" coordsize="5607600,0" path="m0,0l5607600,0">
                  <v:stroke weight="0.7pt" endcap="round" joinstyle="miter" miterlimit="10" on="true" color="#1a1a2e"/>
                  <v:fill on="false" color="#000000" opacity="0"/>
                </v:shape>
              </v:group>
            </w:pict>
          </mc:Fallback>
        </mc:AlternateContent>
      </w:r>
    </w:p>
    <w:p w14:paraId="64A3156B" w14:textId="77777777" w:rsidR="00D05DFE" w:rsidRDefault="00B71E47">
      <w:pPr>
        <w:pStyle w:val="Heading2"/>
        <w:ind w:left="-5"/>
      </w:pPr>
      <w:r>
        <w:t>2.1 A Corporate Acquisition That Shook the Open Source World</w:t>
      </w:r>
    </w:p>
    <w:p w14:paraId="5F799731" w14:textId="77777777" w:rsidR="00D05DFE" w:rsidRDefault="00B71E47">
      <w:pPr>
        <w:spacing w:after="240"/>
        <w:ind w:left="-5" w:right="-15"/>
      </w:pPr>
      <w:r>
        <w:t>In January 2010, Oracle Corporation completed its acquisition of Sun Microsystems for approximately 7.4 billion dollars. Oracle was already one of the world's largest enterprise software companies, known primarily for its commercial database products and its reputation for aggressive intellectual property enforcement. The open source community watched the acquisition with deep unease. Unlike Sun, which had a complicated but genuine relationship with open source, Oracle's primary interest was in enterprise s</w:t>
      </w:r>
      <w:r>
        <w:t>oftware contracts and revenue generation. Within months of the acquisition, it became clear that Oracle viewed OpenOffice.org primarily as a commercial asset rather than a community project.</w:t>
      </w:r>
    </w:p>
    <w:p w14:paraId="56AA0D2A" w14:textId="77777777" w:rsidR="00D05DFE" w:rsidRDefault="00B71E47">
      <w:pPr>
        <w:pStyle w:val="Heading2"/>
        <w:ind w:left="-5"/>
      </w:pPr>
      <w:r>
        <w:t>2.2 What Oracle Did (and Did Not Do)</w:t>
      </w:r>
    </w:p>
    <w:p w14:paraId="54C7E058" w14:textId="77777777" w:rsidR="00D05DFE" w:rsidRDefault="00B71E47">
      <w:pPr>
        <w:spacing w:after="240"/>
        <w:ind w:left="-5" w:right="-15"/>
      </w:pPr>
      <w:r>
        <w:t>Oracle's handling of OpenOffice.org after the acquisition is a study in how inaction can be just as damaging as active harm. It did not change the licence. It did not immediately shut down community contributions. But it retained the copyright assignment requirement — meaning contributors still had to sign over rights to a company with a far more aggressive intellectual property posture than Sun. It launched a commercial product called Oracle Open Office, turning the community's work directly into a revenue</w:t>
      </w:r>
      <w:r>
        <w:t xml:space="preserve"> stream. Communication with the contributor community became sparse and often dismissive. And then Oracle filed a highly controversial lawsuit against Google over the use of Java in Android, signalling to every developer who had ever signed a copyright assignment that Oracle was perfectly willing to use those rights as a legal weapon.</w:t>
      </w:r>
    </w:p>
    <w:p w14:paraId="12F672E1" w14:textId="77777777" w:rsidR="00D05DFE" w:rsidRDefault="00B71E47">
      <w:pPr>
        <w:pStyle w:val="Heading2"/>
        <w:ind w:left="-5"/>
      </w:pPr>
      <w:r>
        <w:t>2.3 The Community's Question</w:t>
      </w:r>
    </w:p>
    <w:p w14:paraId="13A1CC3A" w14:textId="77777777" w:rsidR="00D05DFE" w:rsidRDefault="00B71E47">
      <w:pPr>
        <w:spacing w:after="527"/>
        <w:ind w:left="-5" w:right="-15"/>
      </w:pPr>
      <w:r>
        <w:t>Inside the OpenOffice.org developer community, a quiet but urgent conversation was happening: can we trust Oracle with this project? And if not, what do we do? This was not a technical question. The code had not changed. The licence had not changed. What had changed was the entity that legally owned the rights to years of volunteer contributions, and that entity had made its intentions unmistakably clear. The copyright assignment problem had always existed under Sun. Under Oracle, it ceased to be a theoreti</w:t>
      </w:r>
      <w:r>
        <w:t xml:space="preserve">cal concern and </w:t>
      </w:r>
      <w:r>
        <w:lastRenderedPageBreak/>
        <w:t>became a genuine threat. The community that had tolerated the structural flaw for years suddenly found it intolerable.</w:t>
      </w:r>
    </w:p>
    <w:p w14:paraId="4124802C" w14:textId="77777777" w:rsidR="00D05DFE" w:rsidRDefault="00B71E47">
      <w:pPr>
        <w:pStyle w:val="Heading1"/>
        <w:ind w:left="-5"/>
      </w:pPr>
      <w:r>
        <w:t>Part 3: The Fork — Creating The Document Foundation</w:t>
      </w:r>
    </w:p>
    <w:p w14:paraId="3055ED2E" w14:textId="77777777" w:rsidR="00D05DFE" w:rsidRDefault="00B71E47">
      <w:pPr>
        <w:spacing w:after="379" w:line="259" w:lineRule="auto"/>
        <w:ind w:left="0" w:firstLine="0"/>
        <w:jc w:val="left"/>
      </w:pPr>
      <w:r>
        <w:rPr>
          <w:rFonts w:ascii="Calibri" w:eastAsia="Calibri" w:hAnsi="Calibri" w:cs="Calibri"/>
          <w:noProof/>
          <w:color w:val="000000"/>
        </w:rPr>
        <mc:AlternateContent>
          <mc:Choice Requires="wpg">
            <w:drawing>
              <wp:inline distT="0" distB="0" distL="0" distR="0" wp14:anchorId="5BE943D4" wp14:editId="1EDC1062">
                <wp:extent cx="5607600" cy="8890"/>
                <wp:effectExtent l="0" t="0" r="0" b="0"/>
                <wp:docPr id="6567" name="Group 6567"/>
                <wp:cNvGraphicFramePr/>
                <a:graphic xmlns:a="http://schemas.openxmlformats.org/drawingml/2006/main">
                  <a:graphicData uri="http://schemas.microsoft.com/office/word/2010/wordprocessingGroup">
                    <wpg:wgp>
                      <wpg:cNvGrpSpPr/>
                      <wpg:grpSpPr>
                        <a:xfrm>
                          <a:off x="0" y="0"/>
                          <a:ext cx="5607600" cy="8890"/>
                          <a:chOff x="0" y="0"/>
                          <a:chExt cx="5607600" cy="8890"/>
                        </a:xfrm>
                      </wpg:grpSpPr>
                      <wps:wsp>
                        <wps:cNvPr id="93" name="Shape 93"/>
                        <wps:cNvSpPr/>
                        <wps:spPr>
                          <a:xfrm>
                            <a:off x="0" y="0"/>
                            <a:ext cx="5607600" cy="0"/>
                          </a:xfrm>
                          <a:custGeom>
                            <a:avLst/>
                            <a:gdLst/>
                            <a:ahLst/>
                            <a:cxnLst/>
                            <a:rect l="0" t="0" r="0" b="0"/>
                            <a:pathLst>
                              <a:path w="5607600">
                                <a:moveTo>
                                  <a:pt x="0" y="0"/>
                                </a:moveTo>
                                <a:lnTo>
                                  <a:pt x="5607600" y="0"/>
                                </a:lnTo>
                              </a:path>
                            </a:pathLst>
                          </a:custGeom>
                          <a:ln w="889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67" style="width:441.543pt;height:0.7pt;mso-position-horizontal-relative:char;mso-position-vertical-relative:line" coordsize="56076,88">
                <v:shape id="Shape 93" style="position:absolute;width:56076;height:0;left:0;top:0;" coordsize="5607600,0" path="m0,0l5607600,0">
                  <v:stroke weight="0.7pt" endcap="round" joinstyle="miter" miterlimit="10" on="true" color="#1a1a2e"/>
                  <v:fill on="false" color="#000000" opacity="0"/>
                </v:shape>
              </v:group>
            </w:pict>
          </mc:Fallback>
        </mc:AlternateContent>
      </w:r>
    </w:p>
    <w:p w14:paraId="6B78C557" w14:textId="77777777" w:rsidR="00D05DFE" w:rsidRDefault="00B71E47">
      <w:pPr>
        <w:pStyle w:val="Heading2"/>
        <w:ind w:left="-5"/>
      </w:pPr>
      <w:r>
        <w:t>3.1 What It Means to Fork</w:t>
      </w:r>
    </w:p>
    <w:p w14:paraId="13378D53" w14:textId="77777777" w:rsidR="00D05DFE" w:rsidRDefault="00B71E47">
      <w:pPr>
        <w:spacing w:after="240"/>
        <w:ind w:left="-5" w:right="-15"/>
      </w:pPr>
      <w:r>
        <w:t>In software development, a fork occurs when a group of developers takes an existing codebase and begins developing it independently, creating a new project that shares a common ancestor but diverges from that point forward. Forking is always available as an option in open source — that is one of the freedoms the licences protect. But it is not taken lightly. It fragments a community, splits development effort, and creates confusion for users who now face two projects where there was once one. Most forks hap</w:t>
      </w:r>
      <w:r>
        <w:t>pen quietly and die quickly. Occasionally, a fork is a statement.</w:t>
      </w:r>
    </w:p>
    <w:p w14:paraId="55356039" w14:textId="77777777" w:rsidR="00D05DFE" w:rsidRDefault="00B71E47">
      <w:pPr>
        <w:pStyle w:val="Heading2"/>
        <w:ind w:left="-5"/>
      </w:pPr>
      <w:r>
        <w:t>3.2 September 2010: The Document Foundation</w:t>
      </w:r>
    </w:p>
    <w:p w14:paraId="7BB957F3" w14:textId="77777777" w:rsidR="00D05DFE" w:rsidRDefault="00B71E47">
      <w:pPr>
        <w:ind w:left="-5" w:right="-15"/>
      </w:pPr>
      <w:r>
        <w:t xml:space="preserve">In September 2010, a group of prominent OpenOffice.org contributors — developers, localisation volunteers, documentation writers, and long-term community members — announced the formation of The Document Foundation and a new project called LibreOffice. Their founding manifesto was explicit about the reasons. The Document Foundation would be an independent, non-profit organisation with meritocratic governance. No single company would control it. No copyright assignment would be required — contributors would </w:t>
      </w:r>
      <w:r>
        <w:t>retain ownership of their own code. Decisions would be made transparently by an elected steering committee. The announcement invited Oracle to donate the OpenOffice.org brand and codebase to the new foundation. Oracle declined.</w:t>
      </w:r>
    </w:p>
    <w:p w14:paraId="106FFF0A" w14:textId="77777777" w:rsidR="00D05DFE" w:rsidRDefault="00B71E47">
      <w:pPr>
        <w:spacing w:after="240"/>
        <w:ind w:left="-5" w:right="-15"/>
      </w:pPr>
      <w:r>
        <w:t>Within weeks, the response from the community was extraordinary. Hundreds of developers who had been contributing to OpenOffice.org shifted their effort to LibreOffice. Major Linux distributions — Ubuntu, Fedora, Debian — announced they would ship LibreOffice instead of OpenOffice.org in their next releases. The momentum was unmistakable.</w:t>
      </w:r>
    </w:p>
    <w:p w14:paraId="3397DC8E" w14:textId="77777777" w:rsidR="00D05DFE" w:rsidRDefault="00B71E47">
      <w:pPr>
        <w:pStyle w:val="Heading2"/>
        <w:ind w:left="-5"/>
      </w:pPr>
      <w:r>
        <w:t>3.3 Oracle's Response and the Eventual Collapse</w:t>
      </w:r>
    </w:p>
    <w:p w14:paraId="63F4F6B8" w14:textId="77777777" w:rsidR="00D05DFE" w:rsidRDefault="00B71E47">
      <w:pPr>
        <w:ind w:left="-5" w:right="-15"/>
      </w:pPr>
      <w:r>
        <w:t>Oracle's response to the fork was initially hostile. It demanded that members of the newly formed Document Foundation resign from the OpenOffice.org community council, effectively forcing contributors to choose sides. Many chose LibreOffice. In 2011, Oracle donated the OpenOffice.org name and codebase to the Apache Software Foundation, where it became Apache OpenOffice — a project that exists today but carries a fraction of LibreOffice's development activity and user base. Oracle had held one of the most su</w:t>
      </w:r>
      <w:r>
        <w:t xml:space="preserve">ccessful open source </w:t>
      </w:r>
      <w:r>
        <w:lastRenderedPageBreak/>
        <w:t>office suites in the world. Within eighteen months of its acquisition, it had effectively lost the community that built it.</w:t>
      </w:r>
    </w:p>
    <w:p w14:paraId="47A9E775" w14:textId="77777777" w:rsidR="00D05DFE" w:rsidRDefault="00B71E47">
      <w:pPr>
        <w:pStyle w:val="Heading1"/>
        <w:ind w:left="-5"/>
      </w:pPr>
      <w:r>
        <w:t>Part 4: The Aftermath — What LibreOffice Became</w:t>
      </w:r>
    </w:p>
    <w:p w14:paraId="5C213B95" w14:textId="77777777" w:rsidR="00D05DFE" w:rsidRDefault="00B71E47">
      <w:pPr>
        <w:spacing w:after="379" w:line="259" w:lineRule="auto"/>
        <w:ind w:left="0" w:firstLine="0"/>
        <w:jc w:val="left"/>
      </w:pPr>
      <w:r>
        <w:rPr>
          <w:rFonts w:ascii="Calibri" w:eastAsia="Calibri" w:hAnsi="Calibri" w:cs="Calibri"/>
          <w:noProof/>
          <w:color w:val="000000"/>
        </w:rPr>
        <mc:AlternateContent>
          <mc:Choice Requires="wpg">
            <w:drawing>
              <wp:inline distT="0" distB="0" distL="0" distR="0" wp14:anchorId="7B6D3672" wp14:editId="27CEB21F">
                <wp:extent cx="5607600" cy="8890"/>
                <wp:effectExtent l="0" t="0" r="0" b="0"/>
                <wp:docPr id="6753" name="Group 6753"/>
                <wp:cNvGraphicFramePr/>
                <a:graphic xmlns:a="http://schemas.openxmlformats.org/drawingml/2006/main">
                  <a:graphicData uri="http://schemas.microsoft.com/office/word/2010/wordprocessingGroup">
                    <wpg:wgp>
                      <wpg:cNvGrpSpPr/>
                      <wpg:grpSpPr>
                        <a:xfrm>
                          <a:off x="0" y="0"/>
                          <a:ext cx="5607600" cy="8890"/>
                          <a:chOff x="0" y="0"/>
                          <a:chExt cx="5607600" cy="8890"/>
                        </a:xfrm>
                      </wpg:grpSpPr>
                      <wps:wsp>
                        <wps:cNvPr id="135" name="Shape 135"/>
                        <wps:cNvSpPr/>
                        <wps:spPr>
                          <a:xfrm>
                            <a:off x="0" y="0"/>
                            <a:ext cx="5607600" cy="0"/>
                          </a:xfrm>
                          <a:custGeom>
                            <a:avLst/>
                            <a:gdLst/>
                            <a:ahLst/>
                            <a:cxnLst/>
                            <a:rect l="0" t="0" r="0" b="0"/>
                            <a:pathLst>
                              <a:path w="5607600">
                                <a:moveTo>
                                  <a:pt x="0" y="0"/>
                                </a:moveTo>
                                <a:lnTo>
                                  <a:pt x="5607600" y="0"/>
                                </a:lnTo>
                              </a:path>
                            </a:pathLst>
                          </a:custGeom>
                          <a:ln w="889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53" style="width:441.543pt;height:0.7pt;mso-position-horizontal-relative:char;mso-position-vertical-relative:line" coordsize="56076,88">
                <v:shape id="Shape 135" style="position:absolute;width:56076;height:0;left:0;top:0;" coordsize="5607600,0" path="m0,0l5607600,0">
                  <v:stroke weight="0.7pt" endcap="round" joinstyle="miter" miterlimit="10" on="true" color="#1a1a2e"/>
                  <v:fill on="false" color="#000000" opacity="0"/>
                </v:shape>
              </v:group>
            </w:pict>
          </mc:Fallback>
        </mc:AlternateContent>
      </w:r>
    </w:p>
    <w:p w14:paraId="01F7B94C" w14:textId="77777777" w:rsidR="00D05DFE" w:rsidRDefault="00B71E47">
      <w:pPr>
        <w:pStyle w:val="Heading2"/>
        <w:ind w:left="-5"/>
      </w:pPr>
      <w:r>
        <w:t>4.1 A Different Governance Model</w:t>
      </w:r>
    </w:p>
    <w:p w14:paraId="178C36E2" w14:textId="77777777" w:rsidR="00D05DFE" w:rsidRDefault="00B71E47">
      <w:pPr>
        <w:spacing w:after="240"/>
        <w:ind w:left="-5" w:right="-15"/>
      </w:pPr>
      <w:r>
        <w:t>LibreOffice's governance structure was designed explicitly to prevent what had happened with OpenOffice.org. The Document Foundation is a German non-profit (Stiftung), and its charter prevents any single company from controlling more than one-third of its governing board. Contributors retain copyright on their own code. Major decisions — release schedules, feature priorities, project direction — are made by elected committees, not by corporate employees. Several large companies, including Red Hat, Canonical</w:t>
      </w:r>
      <w:r>
        <w:t>, and Collabora, contributed developers and resources. But the governance model ensured they could support without controlling. This is the model that the OpenOffice.org community had needed from the beginning.</w:t>
      </w:r>
    </w:p>
    <w:p w14:paraId="79223E43" w14:textId="77777777" w:rsidR="00D05DFE" w:rsidRDefault="00B71E47">
      <w:pPr>
        <w:pStyle w:val="Heading2"/>
        <w:ind w:left="-5"/>
      </w:pPr>
      <w:r>
        <w:t>4.2 The Numbers</w:t>
      </w:r>
    </w:p>
    <w:p w14:paraId="31BB9018" w14:textId="77777777" w:rsidR="00D05DFE" w:rsidRDefault="00B71E47">
      <w:pPr>
        <w:spacing w:after="240"/>
        <w:ind w:left="-5" w:right="-15"/>
      </w:pPr>
      <w:r>
        <w:t xml:space="preserve">By the early 2020s, LibreOffice had become the dominant open source office suite by almost every measure. Estimated active users exceeded 200 million worldwide. The codebase had received contributions from thousands of developers across dozens of countries. It was the default office suite in the vast majority of Linux distributions. Governments including Germany, Italy, and several Indian states had mandated or recommended its use in public institutions. Apache OpenOffice, by contrast, had far fewer active </w:t>
      </w:r>
      <w:r>
        <w:t>contributors and had not released a major version update in years. The fork had been costly in the short term. In the long term, it had produced exactly the kind of healthy, self-governing community that open source promises but does not always deliver.</w:t>
      </w:r>
    </w:p>
    <w:p w14:paraId="0393B706" w14:textId="77777777" w:rsidR="00D05DFE" w:rsidRDefault="00B71E47">
      <w:pPr>
        <w:pStyle w:val="Heading2"/>
        <w:ind w:left="-5"/>
      </w:pPr>
      <w:r>
        <w:t>4.3 The MySQL Parallel</w:t>
      </w:r>
    </w:p>
    <w:p w14:paraId="54E10D89" w14:textId="77777777" w:rsidR="00D05DFE" w:rsidRDefault="00B71E47">
      <w:pPr>
        <w:spacing w:after="440"/>
        <w:ind w:left="-5" w:right="-15"/>
      </w:pPr>
      <w:r>
        <w:t>It is worth noting that the Oracle acquisition of Sun created a similar crisis in another open source project. MySQL — the open source database that forms the M in the LAMP stack — was also part of Sun's portfolio and came under Oracle's control. MySQL's original creator, Michael Widenius, made the same calculation as the LibreOffice founders: Oracle could not be trusted as a steward of a community project. In 2009, before the acquisition was even finalised, he forked MySQL and created MariaDB — a fully com</w:t>
      </w:r>
      <w:r>
        <w:t>patible fork designed to remain community-controlled. MariaDB is now the default MySQL-compatible database on most Linux distributions. Many developers use it without realising it replaced MySQL in their LAMP stack. The pattern is consistent: community trust, once broken, is very difficult to rebuild.</w:t>
      </w:r>
    </w:p>
    <w:p w14:paraId="58D12EFD" w14:textId="77777777" w:rsidR="00D05DFE" w:rsidRDefault="00B71E47">
      <w:pPr>
        <w:pStyle w:val="Heading1"/>
        <w:ind w:left="-5"/>
      </w:pPr>
      <w:r>
        <w:lastRenderedPageBreak/>
        <w:t>Part 5: The Deeper Questions</w:t>
      </w:r>
    </w:p>
    <w:p w14:paraId="6C04812A" w14:textId="77777777" w:rsidR="00D05DFE" w:rsidRDefault="00B71E47">
      <w:pPr>
        <w:spacing w:after="379" w:line="259" w:lineRule="auto"/>
        <w:ind w:left="0" w:firstLine="0"/>
        <w:jc w:val="left"/>
      </w:pPr>
      <w:r>
        <w:rPr>
          <w:rFonts w:ascii="Calibri" w:eastAsia="Calibri" w:hAnsi="Calibri" w:cs="Calibri"/>
          <w:noProof/>
          <w:color w:val="000000"/>
        </w:rPr>
        <mc:AlternateContent>
          <mc:Choice Requires="wpg">
            <w:drawing>
              <wp:inline distT="0" distB="0" distL="0" distR="0" wp14:anchorId="3F9408BB" wp14:editId="2D1FD3FD">
                <wp:extent cx="5607600" cy="8890"/>
                <wp:effectExtent l="0" t="0" r="0" b="0"/>
                <wp:docPr id="6754" name="Group 6754"/>
                <wp:cNvGraphicFramePr/>
                <a:graphic xmlns:a="http://schemas.openxmlformats.org/drawingml/2006/main">
                  <a:graphicData uri="http://schemas.microsoft.com/office/word/2010/wordprocessingGroup">
                    <wpg:wgp>
                      <wpg:cNvGrpSpPr/>
                      <wpg:grpSpPr>
                        <a:xfrm>
                          <a:off x="0" y="0"/>
                          <a:ext cx="5607600" cy="8890"/>
                          <a:chOff x="0" y="0"/>
                          <a:chExt cx="5607600" cy="8890"/>
                        </a:xfrm>
                      </wpg:grpSpPr>
                      <wps:wsp>
                        <wps:cNvPr id="168" name="Shape 168"/>
                        <wps:cNvSpPr/>
                        <wps:spPr>
                          <a:xfrm>
                            <a:off x="0" y="0"/>
                            <a:ext cx="5607600" cy="0"/>
                          </a:xfrm>
                          <a:custGeom>
                            <a:avLst/>
                            <a:gdLst/>
                            <a:ahLst/>
                            <a:cxnLst/>
                            <a:rect l="0" t="0" r="0" b="0"/>
                            <a:pathLst>
                              <a:path w="5607600">
                                <a:moveTo>
                                  <a:pt x="0" y="0"/>
                                </a:moveTo>
                                <a:lnTo>
                                  <a:pt x="5607600" y="0"/>
                                </a:lnTo>
                              </a:path>
                            </a:pathLst>
                          </a:custGeom>
                          <a:ln w="889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54" style="width:441.543pt;height:0.7pt;mso-position-horizontal-relative:char;mso-position-vertical-relative:line" coordsize="56076,88">
                <v:shape id="Shape 168" style="position:absolute;width:56076;height:0;left:0;top:0;" coordsize="5607600,0" path="m0,0l5607600,0">
                  <v:stroke weight="0.7pt" endcap="round" joinstyle="miter" miterlimit="10" on="true" color="#1a1a2e"/>
                  <v:fill on="false" color="#000000" opacity="0"/>
                </v:shape>
              </v:group>
            </w:pict>
          </mc:Fallback>
        </mc:AlternateContent>
      </w:r>
    </w:p>
    <w:p w14:paraId="03DC1F9F" w14:textId="77777777" w:rsidR="00D05DFE" w:rsidRDefault="00B71E47">
      <w:pPr>
        <w:pStyle w:val="Heading2"/>
        <w:ind w:left="-5"/>
      </w:pPr>
      <w:r>
        <w:t>5.1 The Problem of Corporate Open Source</w:t>
      </w:r>
    </w:p>
    <w:p w14:paraId="2EB5D7E0" w14:textId="77777777" w:rsidR="00D05DFE" w:rsidRDefault="00B71E47">
      <w:pPr>
        <w:spacing w:after="240"/>
        <w:ind w:left="-5" w:right="-15"/>
      </w:pPr>
      <w:r>
        <w:t>Sun's decision to open-source StarOffice was not purely altruistic. Sun had commercial motivations — it wanted to undermine Microsoft's dominance, position itself in the enterprise market, and attract developer goodwill. Open source was a strategy. This is not unusual. Most corporate open source initiatives have mixed motivations. Google open-sourced Android to prevent Microsoft or Apple from controlling the mobile platform. Facebook open-sourced React to attract developers who would build applications usin</w:t>
      </w:r>
      <w:r>
        <w:t>g Facebook's infrastructure. None of this is dishonest, exactly. But it raises a question that the OpenOffice.org story makes concrete: when a corporation uses open source as a strategic tool and recruits a community of volunteers to build it, what obligations does it have to that community? The LibreOffice case suggests that corporations rarely answer this question satisfactorily on their own — and that the community is right not to trust them to.</w:t>
      </w:r>
    </w:p>
    <w:p w14:paraId="1127804C" w14:textId="77777777" w:rsidR="00D05DFE" w:rsidRDefault="00B71E47">
      <w:pPr>
        <w:pStyle w:val="Heading2"/>
        <w:ind w:left="-5"/>
      </w:pPr>
      <w:r>
        <w:t>5.2 The Limits of Licensing</w:t>
      </w:r>
    </w:p>
    <w:p w14:paraId="3371A7DF" w14:textId="77777777" w:rsidR="00D05DFE" w:rsidRDefault="00B71E47">
      <w:pPr>
        <w:spacing w:after="240"/>
        <w:ind w:left="-5" w:right="-15"/>
      </w:pPr>
      <w:r>
        <w:t>The LibreOffice case reveals a gap that many people overlook when they think about open source freedom. The four freedoms of free software — the freedom to use, study, modify, and distribute — are protected by the licence. But they say nothing about governance: who decides what gets built, who holds the copyright, who controls the release process. A project can be perfectly open source in its licensing and still be controlled by a single entity in ways that are functionally indistinguishable from proprietar</w:t>
      </w:r>
      <w:r>
        <w:t>y software. The OpenOffice.org community had all four freedoms. They could fork. But forking cost them years of effort, community fragmentation, and user confusion. The freedom existed; exercising it was expensive. This is the central lesson of the case: legal openness and practical openness are not the same thing.</w:t>
      </w:r>
    </w:p>
    <w:p w14:paraId="2A41DBB2" w14:textId="77777777" w:rsidR="00D05DFE" w:rsidRDefault="00B71E47">
      <w:pPr>
        <w:spacing w:after="67" w:line="259" w:lineRule="auto"/>
        <w:ind w:left="-5"/>
        <w:jc w:val="left"/>
      </w:pPr>
      <w:r>
        <w:rPr>
          <w:b/>
          <w:color w:val="333366"/>
        </w:rPr>
        <w:t>5.3 Who Owns Community Labour?</w:t>
      </w:r>
    </w:p>
    <w:p w14:paraId="3B9612A8" w14:textId="77777777" w:rsidR="00D05DFE" w:rsidRDefault="00B71E47">
      <w:pPr>
        <w:spacing w:after="240"/>
        <w:ind w:left="-5" w:right="-15"/>
      </w:pPr>
      <w:r>
        <w:t>The copyright assignment clause at the heart of this story raises a question that has no clean answer. When a volunteer spends evenings and weekends contributing to an open source project, who benefits? The contributor gains experience, reputation, and the satisfaction of building something useful. The project gains features and fixes. Users gain a better tool. But under a copyright assignment model, the company that employs none of these volunteers ends up owning the legal rights to their work. Whether thi</w:t>
      </w:r>
      <w:r>
        <w:t>s is fair depends on what you believe the implicit agreement is when someone contributes to a corporate-sponsored project. My view is that the agreement was never clearly communicated, and that the asymmetry of power between a major corporation and an individual volunteer contributor makes it difficult to call that agreement genuinely free.</w:t>
      </w:r>
    </w:p>
    <w:p w14:paraId="07568C74" w14:textId="77777777" w:rsidR="00D05DFE" w:rsidRDefault="00B71E47">
      <w:pPr>
        <w:pStyle w:val="Heading2"/>
        <w:ind w:left="-5"/>
      </w:pPr>
      <w:r>
        <w:lastRenderedPageBreak/>
        <w:t>5.4 The Forking Dilemma</w:t>
      </w:r>
    </w:p>
    <w:p w14:paraId="1E56F451" w14:textId="77777777" w:rsidR="00D05DFE" w:rsidRDefault="00B71E47">
      <w:pPr>
        <w:spacing w:after="440"/>
        <w:ind w:left="-5" w:right="-15"/>
      </w:pPr>
      <w:r>
        <w:t>Forking is often described as the ultimate guarantee of open source freedom: if you do not like how a project is run, you can always fork it. But is this guarantee meaningful in practice? A developer who has contributed to a project for five years, who has relationships with the community and investment in the codebase, now faces a fork. They must choose between the original project — which has more users, more momentum, and existing infrastructure — and the fork, which has better governance but must rebuil</w:t>
      </w:r>
      <w:r>
        <w:t>d everything from scratch. The freedom to fork exists. The practical cost of exercising it is enormous. The LibreOffice fork succeeded, but it succeeded because hundreds of highly skilled people were willing to absorb that cost. Not every community has that capacity. The forking dilemma reveals that formal freedom and practical freedom are not the same — and that governance design matters precisely because it determines whether you will ever need to fork.</w:t>
      </w:r>
    </w:p>
    <w:p w14:paraId="08E7876B" w14:textId="77777777" w:rsidR="00D05DFE" w:rsidRDefault="00B71E47">
      <w:pPr>
        <w:pStyle w:val="Heading1"/>
        <w:ind w:left="-5"/>
      </w:pPr>
      <w:r>
        <w:t>Part 6: Case Study Assignment</w:t>
      </w:r>
    </w:p>
    <w:p w14:paraId="3542CBFE" w14:textId="77777777" w:rsidR="00D05DFE" w:rsidRDefault="00B71E47">
      <w:pPr>
        <w:spacing w:after="590" w:line="259" w:lineRule="auto"/>
        <w:ind w:left="0" w:firstLine="0"/>
        <w:jc w:val="left"/>
      </w:pPr>
      <w:r>
        <w:rPr>
          <w:rFonts w:ascii="Calibri" w:eastAsia="Calibri" w:hAnsi="Calibri" w:cs="Calibri"/>
          <w:noProof/>
          <w:color w:val="000000"/>
        </w:rPr>
        <mc:AlternateContent>
          <mc:Choice Requires="wpg">
            <w:drawing>
              <wp:inline distT="0" distB="0" distL="0" distR="0" wp14:anchorId="39145386" wp14:editId="5BD50183">
                <wp:extent cx="5607600" cy="8890"/>
                <wp:effectExtent l="0" t="0" r="0" b="0"/>
                <wp:docPr id="7295" name="Group 7295"/>
                <wp:cNvGraphicFramePr/>
                <a:graphic xmlns:a="http://schemas.openxmlformats.org/drawingml/2006/main">
                  <a:graphicData uri="http://schemas.microsoft.com/office/word/2010/wordprocessingGroup">
                    <wpg:wgp>
                      <wpg:cNvGrpSpPr/>
                      <wpg:grpSpPr>
                        <a:xfrm>
                          <a:off x="0" y="0"/>
                          <a:ext cx="5607600" cy="8890"/>
                          <a:chOff x="0" y="0"/>
                          <a:chExt cx="5607600" cy="8890"/>
                        </a:xfrm>
                      </wpg:grpSpPr>
                      <wps:wsp>
                        <wps:cNvPr id="236" name="Shape 236"/>
                        <wps:cNvSpPr/>
                        <wps:spPr>
                          <a:xfrm>
                            <a:off x="0" y="0"/>
                            <a:ext cx="5607600" cy="0"/>
                          </a:xfrm>
                          <a:custGeom>
                            <a:avLst/>
                            <a:gdLst/>
                            <a:ahLst/>
                            <a:cxnLst/>
                            <a:rect l="0" t="0" r="0" b="0"/>
                            <a:pathLst>
                              <a:path w="5607600">
                                <a:moveTo>
                                  <a:pt x="0" y="0"/>
                                </a:moveTo>
                                <a:lnTo>
                                  <a:pt x="5607600" y="0"/>
                                </a:lnTo>
                              </a:path>
                            </a:pathLst>
                          </a:custGeom>
                          <a:ln w="889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95" style="width:441.543pt;height:0.7pt;mso-position-horizontal-relative:char;mso-position-vertical-relative:line" coordsize="56076,88">
                <v:shape id="Shape 236" style="position:absolute;width:56076;height:0;left:0;top:0;" coordsize="5607600,0" path="m0,0l5607600,0">
                  <v:stroke weight="0.7pt" endcap="round" joinstyle="miter" miterlimit="10" on="true" color="#1a1a2e"/>
                  <v:fill on="false" color="#000000" opacity="0"/>
                </v:shape>
              </v:group>
            </w:pict>
          </mc:Fallback>
        </mc:AlternateContent>
      </w:r>
    </w:p>
    <w:p w14:paraId="5E98AAFC" w14:textId="77777777" w:rsidR="00D05DFE" w:rsidRDefault="00B71E47">
      <w:pPr>
        <w:pStyle w:val="Heading1"/>
        <w:ind w:left="-5"/>
      </w:pPr>
      <w:r>
        <w:t>Section A — Establish the Context</w:t>
      </w:r>
    </w:p>
    <w:p w14:paraId="21E46BFA" w14:textId="77777777" w:rsidR="00D05DFE" w:rsidRDefault="00B71E47">
      <w:pPr>
        <w:spacing w:after="167" w:line="259" w:lineRule="auto"/>
        <w:ind w:left="1766" w:firstLine="0"/>
        <w:jc w:val="left"/>
      </w:pPr>
      <w:r>
        <w:rPr>
          <w:rFonts w:ascii="Calibri" w:eastAsia="Calibri" w:hAnsi="Calibri" w:cs="Calibri"/>
          <w:noProof/>
          <w:color w:val="000000"/>
        </w:rPr>
        <mc:AlternateContent>
          <mc:Choice Requires="wpg">
            <w:drawing>
              <wp:inline distT="0" distB="0" distL="0" distR="0" wp14:anchorId="15A7E385" wp14:editId="64D0327E">
                <wp:extent cx="3364560" cy="6350"/>
                <wp:effectExtent l="0" t="0" r="0" b="0"/>
                <wp:docPr id="7296" name="Group 7296"/>
                <wp:cNvGraphicFramePr/>
                <a:graphic xmlns:a="http://schemas.openxmlformats.org/drawingml/2006/main">
                  <a:graphicData uri="http://schemas.microsoft.com/office/word/2010/wordprocessingGroup">
                    <wpg:wgp>
                      <wpg:cNvGrpSpPr/>
                      <wpg:grpSpPr>
                        <a:xfrm>
                          <a:off x="0" y="0"/>
                          <a:ext cx="3364560" cy="6350"/>
                          <a:chOff x="0" y="0"/>
                          <a:chExt cx="3364560" cy="6350"/>
                        </a:xfrm>
                      </wpg:grpSpPr>
                      <wps:wsp>
                        <wps:cNvPr id="238" name="Shape 238"/>
                        <wps:cNvSpPr/>
                        <wps:spPr>
                          <a:xfrm>
                            <a:off x="0" y="0"/>
                            <a:ext cx="3364560" cy="0"/>
                          </a:xfrm>
                          <a:custGeom>
                            <a:avLst/>
                            <a:gdLst/>
                            <a:ahLst/>
                            <a:cxnLst/>
                            <a:rect l="0" t="0" r="0" b="0"/>
                            <a:pathLst>
                              <a:path w="3364560">
                                <a:moveTo>
                                  <a:pt x="0" y="0"/>
                                </a:moveTo>
                                <a:lnTo>
                                  <a:pt x="3364560" y="0"/>
                                </a:lnTo>
                              </a:path>
                            </a:pathLst>
                          </a:custGeom>
                          <a:ln w="6350" cap="rnd">
                            <a:miter lim="127000"/>
                          </a:ln>
                        </wps:spPr>
                        <wps:style>
                          <a:lnRef idx="1">
                            <a:srgbClr val="33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96" style="width:264.926pt;height:0.5pt;mso-position-horizontal-relative:char;mso-position-vertical-relative:line" coordsize="33645,63">
                <v:shape id="Shape 238" style="position:absolute;width:33645;height:0;left:0;top:0;" coordsize="3364560,0" path="m0,0l3364560,0">
                  <v:stroke weight="0.5pt" endcap="round" joinstyle="miter" miterlimit="10" on="true" color="#333366"/>
                  <v:fill on="false" color="#000000" opacity="0"/>
                </v:shape>
              </v:group>
            </w:pict>
          </mc:Fallback>
        </mc:AlternateContent>
      </w:r>
    </w:p>
    <w:p w14:paraId="530F14E9" w14:textId="77777777" w:rsidR="00D05DFE" w:rsidRDefault="00B71E47">
      <w:pPr>
        <w:ind w:left="-5" w:right="-15"/>
      </w:pPr>
      <w:r>
        <w:t>OpenOffice.org was born from a genuine impulse — Sun Microsystems open-sourcing StarOffice in 1999 gave the world a free, credible alternative to Microsoft Office. But from the very beginning, the project carried a structural flaw that would eventually undo it. Every developer who contributed code had to sign a Joint Copyright Assignment agreement with Sun, transferring legal ownership of their work to the company. Sun controlled the release schedule, the roadmap, and all final decisions. The community coul</w:t>
      </w:r>
      <w:r>
        <w:t>d build; Sun could veto.</w:t>
      </w:r>
    </w:p>
    <w:p w14:paraId="04A2063D" w14:textId="77777777" w:rsidR="00D05DFE" w:rsidRDefault="00B71E47">
      <w:pPr>
        <w:ind w:left="-5" w:right="-15"/>
      </w:pPr>
      <w:r>
        <w:t>For years, this was tolerable because Sun was a relatively decent steward. But the structural flaw was always there. The governance model had concentrated power in a single corporation, and that corporation could be replaced. When Oracle acquired Sun in January 2010 for 7.4 billion dollars, it inherited not just the codebase but all the legal rights over every volunteer's contribution. Oracle's track record — aggressive intellectual property enforcement, commercial orientation, the Java lawsuit against Goog</w:t>
      </w:r>
      <w:r>
        <w:t>le — made those inherited rights feel like a loaded weapon pointed at the community.</w:t>
      </w:r>
    </w:p>
    <w:p w14:paraId="56D61299" w14:textId="77777777" w:rsidR="00D05DFE" w:rsidRDefault="00B71E47">
      <w:pPr>
        <w:spacing w:after="287"/>
        <w:ind w:left="-5" w:right="-15"/>
      </w:pPr>
      <w:r>
        <w:t xml:space="preserve">The Oracle acquisition was the trigger, not the cause. The cause was the copyright assignment model itself. Under Sun, the risk was theoretical. Under Oracle, it was concrete. This distinction explains why the community tolerated the problem for years and then moved decisively within months of the acquisition. The structural feature that made the fork possible — and arguably inevitable — was the fact that the licence gave the community the right to </w:t>
      </w:r>
      <w:r>
        <w:lastRenderedPageBreak/>
        <w:t>fork but the governance model gave Oracle the right to everything else. Open source licensing had given them freedom to use the code; it had given them no freedom to govern the project.</w:t>
      </w:r>
    </w:p>
    <w:p w14:paraId="6D945983" w14:textId="77777777" w:rsidR="00D05DFE" w:rsidRDefault="00B71E47">
      <w:pPr>
        <w:spacing w:after="480"/>
        <w:ind w:left="-5" w:right="-15"/>
      </w:pPr>
      <w:r>
        <w:t>What this story tells us about the difference between legal openness and practical openness is this: they are not the same thing, and conflating them is a mistake with real consequences. OpenOffice.org was legally open. In practice, it was a corporate-controlled project that happened to publish its source code. The community discovered this distinction the hard way.</w:t>
      </w:r>
    </w:p>
    <w:p w14:paraId="6F3ADFF0" w14:textId="77777777" w:rsidR="00D05DFE" w:rsidRDefault="00B71E47">
      <w:pPr>
        <w:pStyle w:val="Heading1"/>
        <w:ind w:left="-5"/>
      </w:pPr>
      <w:r>
        <w:t>Section B — The Ethics of Corporate Control</w:t>
      </w:r>
    </w:p>
    <w:p w14:paraId="40ADE303" w14:textId="77777777" w:rsidR="00D05DFE" w:rsidRDefault="00B71E47">
      <w:pPr>
        <w:spacing w:after="167" w:line="259" w:lineRule="auto"/>
        <w:ind w:left="1766" w:firstLine="0"/>
        <w:jc w:val="left"/>
      </w:pPr>
      <w:r>
        <w:rPr>
          <w:rFonts w:ascii="Calibri" w:eastAsia="Calibri" w:hAnsi="Calibri" w:cs="Calibri"/>
          <w:noProof/>
          <w:color w:val="000000"/>
        </w:rPr>
        <mc:AlternateContent>
          <mc:Choice Requires="wpg">
            <w:drawing>
              <wp:inline distT="0" distB="0" distL="0" distR="0" wp14:anchorId="222DE910" wp14:editId="5652C3C2">
                <wp:extent cx="3364560" cy="6350"/>
                <wp:effectExtent l="0" t="0" r="0" b="0"/>
                <wp:docPr id="7248" name="Group 7248"/>
                <wp:cNvGraphicFramePr/>
                <a:graphic xmlns:a="http://schemas.openxmlformats.org/drawingml/2006/main">
                  <a:graphicData uri="http://schemas.microsoft.com/office/word/2010/wordprocessingGroup">
                    <wpg:wgp>
                      <wpg:cNvGrpSpPr/>
                      <wpg:grpSpPr>
                        <a:xfrm>
                          <a:off x="0" y="0"/>
                          <a:ext cx="3364560" cy="6350"/>
                          <a:chOff x="0" y="0"/>
                          <a:chExt cx="3364560" cy="6350"/>
                        </a:xfrm>
                      </wpg:grpSpPr>
                      <wps:wsp>
                        <wps:cNvPr id="268" name="Shape 268"/>
                        <wps:cNvSpPr/>
                        <wps:spPr>
                          <a:xfrm>
                            <a:off x="0" y="0"/>
                            <a:ext cx="3364560" cy="0"/>
                          </a:xfrm>
                          <a:custGeom>
                            <a:avLst/>
                            <a:gdLst/>
                            <a:ahLst/>
                            <a:cxnLst/>
                            <a:rect l="0" t="0" r="0" b="0"/>
                            <a:pathLst>
                              <a:path w="3364560">
                                <a:moveTo>
                                  <a:pt x="0" y="0"/>
                                </a:moveTo>
                                <a:lnTo>
                                  <a:pt x="3364560" y="0"/>
                                </a:lnTo>
                              </a:path>
                            </a:pathLst>
                          </a:custGeom>
                          <a:ln w="6350" cap="rnd">
                            <a:miter lim="127000"/>
                          </a:ln>
                        </wps:spPr>
                        <wps:style>
                          <a:lnRef idx="1">
                            <a:srgbClr val="33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48" style="width:264.926pt;height:0.5pt;mso-position-horizontal-relative:char;mso-position-vertical-relative:line" coordsize="33645,63">
                <v:shape id="Shape 268" style="position:absolute;width:33645;height:0;left:0;top:0;" coordsize="3364560,0" path="m0,0l3364560,0">
                  <v:stroke weight="0.5pt" endcap="round" joinstyle="miter" miterlimit="10" on="true" color="#333366"/>
                  <v:fill on="false" color="#000000" opacity="0"/>
                </v:shape>
              </v:group>
            </w:pict>
          </mc:Fallback>
        </mc:AlternateContent>
      </w:r>
    </w:p>
    <w:p w14:paraId="69EAC86C" w14:textId="77777777" w:rsidR="00D05DFE" w:rsidRDefault="00B71E47">
      <w:pPr>
        <w:ind w:left="-5" w:right="-15"/>
      </w:pPr>
      <w:r>
        <w:t>My position is clear: the copyright assignment clause was ethically problematic under Sun and became genuinely indefensible under Oracle. I want to take the counterargument seriously before explaining why I hold that view.</w:t>
      </w:r>
    </w:p>
    <w:p w14:paraId="6F17CB5F" w14:textId="77777777" w:rsidR="00D05DFE" w:rsidRDefault="00B71E47">
      <w:pPr>
        <w:ind w:left="-5" w:right="-15"/>
      </w:pPr>
      <w:r>
        <w:t>The case for corporate control has real force. Sun did not simply open-source a codebase and disappear. It funded full-time engineers, legal infrastructure, servers, release management, and the organisational weight that turns a collection of code into a product millions of people can trust. None of that is free. If a company is going to fund that infrastructure, wanting governance authority in return is not inherently unreasonable. This is how investment works everywhere else — capital earns a say in how t</w:t>
      </w:r>
      <w:r>
        <w:t>he enterprise is run. The copyright assignment clause, from this perspective, is simply a mechanism for aligning control with financial responsibility.</w:t>
      </w:r>
    </w:p>
    <w:p w14:paraId="7EE1EA2D" w14:textId="77777777" w:rsidR="00D05DFE" w:rsidRDefault="00B71E47">
      <w:pPr>
        <w:ind w:left="-5" w:right="-15"/>
      </w:pPr>
      <w:r>
        <w:t>That argument has genuine merit. But it breaks down at a specific point: it treats financial investment as the only legitimate form of contribution, while treating the time, skill, and creativity of volunteer contributors as something that earns them rights to use the software but no rights to govern it. That asymmetry is difficult to defend. The volunteers were not naive — they signed the agreement and understood its formal terms. But the power differential between a major corporation and an individual vol</w:t>
      </w:r>
      <w:r>
        <w:t>unteer contributor is so significant that calling the agreement genuinely free is a stretch. When the alternative to signing is being excluded from contributing to one of the most important open source projects in the world, the choice is not as free as it appears on paper.</w:t>
      </w:r>
    </w:p>
    <w:p w14:paraId="3BE1CB7D" w14:textId="77777777" w:rsidR="00D05DFE" w:rsidRDefault="00B71E47">
      <w:pPr>
        <w:ind w:left="-5" w:right="-15"/>
      </w:pPr>
      <w:r>
        <w:t xml:space="preserve">On the copyright assignment clause specifically: under Sun, it was uncomfortable but not dangerous. Sun had commercial interests in OpenOffice.org's success that roughly aligned with the community's interests — a better product was good for Sun's enterprise relationships and developer goodwill. The clause existed, but the entity holding the rights </w:t>
      </w:r>
      <w:r>
        <w:lastRenderedPageBreak/>
        <w:t>was a relatively benign steward. Under Oracle, the same clause became dangerous because Oracle had demonstrated across its entire business that it would use intellectual property rights aggressively when it served commercial interests. The Java lawsuit against Google is the clearest example: Oracle used inherited rights as a legal weapon in a way Sun never had. The same contractual arrangement produced fundamentally different ethical outcomes because the intentions behind it were so different.</w:t>
      </w:r>
    </w:p>
    <w:p w14:paraId="60486016" w14:textId="77777777" w:rsidR="00D05DFE" w:rsidRDefault="00B71E47">
      <w:pPr>
        <w:spacing w:after="480"/>
        <w:ind w:left="-5" w:right="-15"/>
      </w:pPr>
      <w:r>
        <w:t>The distinction between stewardship and ownership is, in my view, the most important conceptual tool for analysing this case. A steward holds something in trust — their obligation runs not just to themselves but to the community whose interests they are responsible for protecting. An owner holds something as property — their obligation runs primarily to themselves. Sun at least attempted stewardship, however imperfectly. Oracle was transparently exercising ownership. An open source community cannot function</w:t>
      </w:r>
      <w:r>
        <w:t xml:space="preserve"> sustainably under an ownership model, because ownership is about control for the benefit of the controller, while community is about shared benefit. These are incompatible values when pushed to their limits, and the LibreOffice story is what that incompatibility looks like when it resolves.</w:t>
      </w:r>
    </w:p>
    <w:p w14:paraId="539B187D" w14:textId="77777777" w:rsidR="00D05DFE" w:rsidRDefault="00B71E47">
      <w:pPr>
        <w:pStyle w:val="Heading1"/>
        <w:ind w:left="-5"/>
      </w:pPr>
      <w:r>
        <w:t>Section C — The Forking Question</w:t>
      </w:r>
    </w:p>
    <w:p w14:paraId="00074DDA" w14:textId="77777777" w:rsidR="00D05DFE" w:rsidRDefault="00B71E47">
      <w:pPr>
        <w:spacing w:after="167" w:line="259" w:lineRule="auto"/>
        <w:ind w:left="1766" w:firstLine="0"/>
        <w:jc w:val="left"/>
      </w:pPr>
      <w:r>
        <w:rPr>
          <w:rFonts w:ascii="Calibri" w:eastAsia="Calibri" w:hAnsi="Calibri" w:cs="Calibri"/>
          <w:noProof/>
          <w:color w:val="000000"/>
        </w:rPr>
        <mc:AlternateContent>
          <mc:Choice Requires="wpg">
            <w:drawing>
              <wp:inline distT="0" distB="0" distL="0" distR="0" wp14:anchorId="402CC51D" wp14:editId="1092C8FF">
                <wp:extent cx="3364560" cy="6350"/>
                <wp:effectExtent l="0" t="0" r="0" b="0"/>
                <wp:docPr id="7421" name="Group 7421"/>
                <wp:cNvGraphicFramePr/>
                <a:graphic xmlns:a="http://schemas.openxmlformats.org/drawingml/2006/main">
                  <a:graphicData uri="http://schemas.microsoft.com/office/word/2010/wordprocessingGroup">
                    <wpg:wgp>
                      <wpg:cNvGrpSpPr/>
                      <wpg:grpSpPr>
                        <a:xfrm>
                          <a:off x="0" y="0"/>
                          <a:ext cx="3364560" cy="6350"/>
                          <a:chOff x="0" y="0"/>
                          <a:chExt cx="3364560" cy="6350"/>
                        </a:xfrm>
                      </wpg:grpSpPr>
                      <wps:wsp>
                        <wps:cNvPr id="312" name="Shape 312"/>
                        <wps:cNvSpPr/>
                        <wps:spPr>
                          <a:xfrm>
                            <a:off x="0" y="0"/>
                            <a:ext cx="3364560" cy="0"/>
                          </a:xfrm>
                          <a:custGeom>
                            <a:avLst/>
                            <a:gdLst/>
                            <a:ahLst/>
                            <a:cxnLst/>
                            <a:rect l="0" t="0" r="0" b="0"/>
                            <a:pathLst>
                              <a:path w="3364560">
                                <a:moveTo>
                                  <a:pt x="0" y="0"/>
                                </a:moveTo>
                                <a:lnTo>
                                  <a:pt x="3364560" y="0"/>
                                </a:lnTo>
                              </a:path>
                            </a:pathLst>
                          </a:custGeom>
                          <a:ln w="6350" cap="rnd">
                            <a:miter lim="127000"/>
                          </a:ln>
                        </wps:spPr>
                        <wps:style>
                          <a:lnRef idx="1">
                            <a:srgbClr val="33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21" style="width:264.926pt;height:0.5pt;mso-position-horizontal-relative:char;mso-position-vertical-relative:line" coordsize="33645,63">
                <v:shape id="Shape 312" style="position:absolute;width:33645;height:0;left:0;top:0;" coordsize="3364560,0" path="m0,0l3364560,0">
                  <v:stroke weight="0.5pt" endcap="round" joinstyle="miter" miterlimit="10" on="true" color="#333366"/>
                  <v:fill on="false" color="#000000" opacity="0"/>
                </v:shape>
              </v:group>
            </w:pict>
          </mc:Fallback>
        </mc:AlternateContent>
      </w:r>
    </w:p>
    <w:p w14:paraId="334260E3" w14:textId="77777777" w:rsidR="00D05DFE" w:rsidRDefault="00B71E47">
      <w:pPr>
        <w:ind w:left="-5" w:right="-15"/>
      </w:pPr>
      <w:r>
        <w:t>Let me first construct the strongest version of the argument against forking, as honestly as I can. The community had not exhausted its alternatives. It could have organised internally, demanded transparency, and used the public visibility and goodwill of OpenOffice.org as leverage against Oracle. Oracle was not immune to reputational pressure — enterprise customers care about trustworthy open source stewardship, and a sustained public campaign for governance reform might have produced results. There was al</w:t>
      </w:r>
      <w:r>
        <w:t>so the cost to users: for years after the fork, organisations genuinely did not know whether to adopt LibreOffice or stay with OpenOffice.org. Some stayed with a dying project. Others switched and absorbed compatibility and training costs. That confusion was real, and it was paid by people who had no part in the governance dispute. A developer who had invested five years in the project faced a genuine dilemma — forking meant abandoning momentum, infrastructure, and relationships. Staying meant accepting imp</w:t>
      </w:r>
      <w:r>
        <w:t>erfect governance. The freedom to fork was real; the practical cost of exercising it was enormous.</w:t>
      </w:r>
    </w:p>
    <w:p w14:paraId="148BC341" w14:textId="77777777" w:rsidR="00D05DFE" w:rsidRDefault="00B71E47">
      <w:pPr>
        <w:ind w:left="-5" w:right="-15"/>
      </w:pPr>
      <w:r>
        <w:t xml:space="preserve">Having made that argument as carefully as I can, I do not find it persuasive enough to change my conclusion. The premise that Oracle might have responded positively to organised pressure does not hold up against the evidence. Oracle had already signalled its intentions clearly through the Java lawsuit, through the commercial Oracle Open Office product, and </w:t>
      </w:r>
      <w:r>
        <w:lastRenderedPageBreak/>
        <w:t>through its dismissive handling of community communication. Waiting for Oracle to reform would have meant years of stagnation in a project that needed active development to remain competitive with Microsoft Office. The fork was painful. It was also honest.</w:t>
      </w:r>
    </w:p>
    <w:p w14:paraId="50CE4D1C" w14:textId="77777777" w:rsidR="00D05DFE" w:rsidRDefault="00B71E47">
      <w:pPr>
        <w:ind w:left="-5" w:right="-15"/>
      </w:pPr>
      <w:r>
        <w:t>On Oracle's decision to decline the Document Foundation's invitation: from a narrow business perspective, it is understandable. Donating the OpenOffice.org brand would have meant surrendering a commercial asset and conceding that the community's governance model was legitimate. Oracle had no financial incentive to do either. From an ethical perspective, the decision is revealing. The Document Foundation offered Oracle a graceful exit with goodwill intact. Oracle treated it as a hostile act. These two perspe</w:t>
      </w:r>
      <w:r>
        <w:t>ctives do not produce the same answer. Commercially, Oracle made a defensible choice. Ethically, it demonstrated exactly why the fork was necessary.</w:t>
      </w:r>
    </w:p>
    <w:p w14:paraId="1571035E" w14:textId="77777777" w:rsidR="00D05DFE" w:rsidRDefault="00B71E47">
      <w:pPr>
        <w:spacing w:after="480"/>
        <w:ind w:left="-5" w:right="-15"/>
      </w:pPr>
      <w:r>
        <w:t>Was the fork worth it? The numbers answer the question. LibreOffice has over 200 million active users, contributions from thousands of developers, and is the default office suite on virtually every Linux distribution. Apache OpenOffice has a fraction of the activity and has not released a major update in years. The short-term cost of the fork was real. The long-term result was the creation of a genuinely healthy, community-governed project that has outlasted and outpaced its corporate-controlled predecessor</w:t>
      </w:r>
      <w:r>
        <w:t xml:space="preserve"> by every measure that matters.</w:t>
      </w:r>
    </w:p>
    <w:p w14:paraId="2B9AD89C" w14:textId="77777777" w:rsidR="00D05DFE" w:rsidRDefault="00B71E47">
      <w:pPr>
        <w:pStyle w:val="Heading1"/>
        <w:ind w:left="-5"/>
      </w:pPr>
      <w:r>
        <w:t>Section D — Lessons and Generalisation</w:t>
      </w:r>
    </w:p>
    <w:p w14:paraId="6E7499A2" w14:textId="77777777" w:rsidR="00D05DFE" w:rsidRDefault="00B71E47">
      <w:pPr>
        <w:spacing w:after="167" w:line="259" w:lineRule="auto"/>
        <w:ind w:left="1766" w:firstLine="0"/>
        <w:jc w:val="left"/>
      </w:pPr>
      <w:r>
        <w:rPr>
          <w:rFonts w:ascii="Calibri" w:eastAsia="Calibri" w:hAnsi="Calibri" w:cs="Calibri"/>
          <w:noProof/>
          <w:color w:val="000000"/>
        </w:rPr>
        <mc:AlternateContent>
          <mc:Choice Requires="wpg">
            <w:drawing>
              <wp:inline distT="0" distB="0" distL="0" distR="0" wp14:anchorId="6A35A1D8" wp14:editId="268ED90D">
                <wp:extent cx="3364560" cy="6350"/>
                <wp:effectExtent l="0" t="0" r="0" b="0"/>
                <wp:docPr id="7581" name="Group 7581"/>
                <wp:cNvGraphicFramePr/>
                <a:graphic xmlns:a="http://schemas.openxmlformats.org/drawingml/2006/main">
                  <a:graphicData uri="http://schemas.microsoft.com/office/word/2010/wordprocessingGroup">
                    <wpg:wgp>
                      <wpg:cNvGrpSpPr/>
                      <wpg:grpSpPr>
                        <a:xfrm>
                          <a:off x="0" y="0"/>
                          <a:ext cx="3364560" cy="6350"/>
                          <a:chOff x="0" y="0"/>
                          <a:chExt cx="3364560" cy="6350"/>
                        </a:xfrm>
                      </wpg:grpSpPr>
                      <wps:wsp>
                        <wps:cNvPr id="352" name="Shape 352"/>
                        <wps:cNvSpPr/>
                        <wps:spPr>
                          <a:xfrm>
                            <a:off x="0" y="0"/>
                            <a:ext cx="3364560" cy="0"/>
                          </a:xfrm>
                          <a:custGeom>
                            <a:avLst/>
                            <a:gdLst/>
                            <a:ahLst/>
                            <a:cxnLst/>
                            <a:rect l="0" t="0" r="0" b="0"/>
                            <a:pathLst>
                              <a:path w="3364560">
                                <a:moveTo>
                                  <a:pt x="0" y="0"/>
                                </a:moveTo>
                                <a:lnTo>
                                  <a:pt x="3364560" y="0"/>
                                </a:lnTo>
                              </a:path>
                            </a:pathLst>
                          </a:custGeom>
                          <a:ln w="6350" cap="rnd">
                            <a:miter lim="127000"/>
                          </a:ln>
                        </wps:spPr>
                        <wps:style>
                          <a:lnRef idx="1">
                            <a:srgbClr val="33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1" style="width:264.926pt;height:0.5pt;mso-position-horizontal-relative:char;mso-position-vertical-relative:line" coordsize="33645,63">
                <v:shape id="Shape 352" style="position:absolute;width:33645;height:0;left:0;top:0;" coordsize="3364560,0" path="m0,0l3364560,0">
                  <v:stroke weight="0.5pt" endcap="round" joinstyle="miter" miterlimit="10" on="true" color="#333366"/>
                  <v:fill on="false" color="#000000" opacity="0"/>
                </v:shape>
              </v:group>
            </w:pict>
          </mc:Fallback>
        </mc:AlternateContent>
      </w:r>
    </w:p>
    <w:p w14:paraId="0A36C834" w14:textId="77777777" w:rsidR="00D05DFE" w:rsidRDefault="00B71E47">
      <w:pPr>
        <w:ind w:left="-5" w:right="-15"/>
      </w:pPr>
      <w:r>
        <w:t>The fact that two major open source projects — LibreOffice from OpenOffice.org and MariaDB from MySQL — both forked from the same corporate acquisition within the same period is not coincidence. Oracle acquired Sun and within eighteen months had lost the communities behind both of its most prominent open source projects. This tells us something important: community trust in open source is not a soft, manageable resource that corporations can adjust around. It is structural, it is slow to build, and once bro</w:t>
      </w:r>
      <w:r>
        <w:t>ken, it does not return. Michael Widenius forked MySQL before the Oracle acquisition was even finalised — he looked at Oracle's track record and made a prediction that turned out to be entirely accurate. The signals of corporate trustworthiness are not hidden. They are visible in how a company behaves across its entire portfolio.</w:t>
      </w:r>
    </w:p>
    <w:p w14:paraId="72AB192D" w14:textId="77777777" w:rsidR="00D05DFE" w:rsidRDefault="00B71E47">
      <w:pPr>
        <w:ind w:left="-5" w:right="-15"/>
      </w:pPr>
      <w:r>
        <w:t xml:space="preserve">The hypothetical of a large cloud company contributing the majority of code to a popular open source project while controlling its governance is meaningfully different from the Oracle situation, but only in degree. A company that writes most of the code has a genuine technical stake in the project's health, creating some alignment of interests with the community. Oracle contributed relatively little to OpenOffice.org's codebase — it simply inherited legal rights. A </w:t>
      </w:r>
      <w:r>
        <w:lastRenderedPageBreak/>
        <w:t>company that writes code is at least accountable to what it produces. A company that merely holds rights over code others wrote is not. That said, the criteria for evaluating any corporate steward should be: Does the governance structure prevent unilateral control by any single entity? Is there a neutral mechanism for escalating community disputes? Does the company require copyright assignment? Is the company financially incentivised to restrict or close the project? And what is its track record? Intentions</w:t>
      </w:r>
      <w:r>
        <w:t xml:space="preserve"> cannot be verified. Track records can.</w:t>
      </w:r>
    </w:p>
    <w:p w14:paraId="28F1CC95" w14:textId="77777777" w:rsidR="00D05DFE" w:rsidRDefault="00B71E47">
      <w:pPr>
        <w:spacing w:after="480"/>
        <w:ind w:left="-5" w:right="-15"/>
      </w:pPr>
      <w:r>
        <w:t>If I were advising developers starting a new open source project today, my governance recommendations would be specific. First, organise as a non-profit foundation from the beginning — not as a company-owned project that might later be donated to a foundation. The Apache Software Foundation, the Eclipse Foundation, and the Document Foundation all provide working models. Second, do not require copyright assignment; use a Contributor Licence Agreement that grants distribution rights without transferring owner</w:t>
      </w:r>
      <w:r>
        <w:t>ship. Third, cap corporate representation on the governing board at one-third, as the Document Foundation does. Fourth, make all decision-making public — meeting minutes, roadmap discussions, and release decisions should be visible to the entire community. Fifth, define in the founding documents what happens if the project's primary sponsor is acquired. The fork should be a planned contingency, not an emergency improvisation.</w:t>
      </w:r>
    </w:p>
    <w:p w14:paraId="5F424612" w14:textId="77777777" w:rsidR="00D05DFE" w:rsidRDefault="00B71E47">
      <w:pPr>
        <w:pStyle w:val="Heading1"/>
        <w:ind w:left="-5"/>
      </w:pPr>
      <w:r>
        <w:t>Section E — Reflection</w:t>
      </w:r>
    </w:p>
    <w:p w14:paraId="0C87077E" w14:textId="77777777" w:rsidR="00D05DFE" w:rsidRDefault="00B71E47">
      <w:pPr>
        <w:spacing w:after="167" w:line="259" w:lineRule="auto"/>
        <w:ind w:left="1766" w:firstLine="0"/>
        <w:jc w:val="left"/>
      </w:pPr>
      <w:r>
        <w:rPr>
          <w:rFonts w:ascii="Calibri" w:eastAsia="Calibri" w:hAnsi="Calibri" w:cs="Calibri"/>
          <w:noProof/>
          <w:color w:val="000000"/>
        </w:rPr>
        <mc:AlternateContent>
          <mc:Choice Requires="wpg">
            <w:drawing>
              <wp:inline distT="0" distB="0" distL="0" distR="0" wp14:anchorId="51298BAF" wp14:editId="41E088BF">
                <wp:extent cx="3364560" cy="6350"/>
                <wp:effectExtent l="0" t="0" r="0" b="0"/>
                <wp:docPr id="7573" name="Group 7573"/>
                <wp:cNvGraphicFramePr/>
                <a:graphic xmlns:a="http://schemas.openxmlformats.org/drawingml/2006/main">
                  <a:graphicData uri="http://schemas.microsoft.com/office/word/2010/wordprocessingGroup">
                    <wpg:wgp>
                      <wpg:cNvGrpSpPr/>
                      <wpg:grpSpPr>
                        <a:xfrm>
                          <a:off x="0" y="0"/>
                          <a:ext cx="3364560" cy="6350"/>
                          <a:chOff x="0" y="0"/>
                          <a:chExt cx="3364560" cy="6350"/>
                        </a:xfrm>
                      </wpg:grpSpPr>
                      <wps:wsp>
                        <wps:cNvPr id="389" name="Shape 389"/>
                        <wps:cNvSpPr/>
                        <wps:spPr>
                          <a:xfrm>
                            <a:off x="0" y="0"/>
                            <a:ext cx="3364560" cy="0"/>
                          </a:xfrm>
                          <a:custGeom>
                            <a:avLst/>
                            <a:gdLst/>
                            <a:ahLst/>
                            <a:cxnLst/>
                            <a:rect l="0" t="0" r="0" b="0"/>
                            <a:pathLst>
                              <a:path w="3364560">
                                <a:moveTo>
                                  <a:pt x="0" y="0"/>
                                </a:moveTo>
                                <a:lnTo>
                                  <a:pt x="3364560" y="0"/>
                                </a:lnTo>
                              </a:path>
                            </a:pathLst>
                          </a:custGeom>
                          <a:ln w="6350" cap="rnd">
                            <a:miter lim="127000"/>
                          </a:ln>
                        </wps:spPr>
                        <wps:style>
                          <a:lnRef idx="1">
                            <a:srgbClr val="33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73" style="width:264.926pt;height:0.5pt;mso-position-horizontal-relative:char;mso-position-vertical-relative:line" coordsize="33645,63">
                <v:shape id="Shape 389" style="position:absolute;width:33645;height:0;left:0;top:0;" coordsize="3364560,0" path="m0,0l3364560,0">
                  <v:stroke weight="0.5pt" endcap="round" joinstyle="miter" miterlimit="10" on="true" color="#333366"/>
                  <v:fill on="false" color="#000000" opacity="0"/>
                </v:shape>
              </v:group>
            </w:pict>
          </mc:Fallback>
        </mc:AlternateContent>
      </w:r>
    </w:p>
    <w:p w14:paraId="33373647" w14:textId="3C1C51F5" w:rsidR="00D05DFE" w:rsidRDefault="00B71E47">
      <w:pPr>
        <w:ind w:left="-5" w:right="-15"/>
      </w:pPr>
      <w:r>
        <w:t>Before reading this case study, I understood open source the way most computer science students do — as a licensing arrangement. Free software meant software you could read, modify, and share. That framing is not wrong, but this case made vivid for me how incomplete it is. The licence is a floor, not a ceiling. It guarantees certain freedoms in theory. It says nothing about whether those freedoms are practically accessible, or whether the project is governed in a way that honours them.</w:t>
      </w:r>
    </w:p>
    <w:p w14:paraId="682A22E6" w14:textId="77777777" w:rsidR="00D05DFE" w:rsidRDefault="00B71E47">
      <w:pPr>
        <w:ind w:left="-5" w:right="-15"/>
      </w:pPr>
      <w:r>
        <w:t>What surprised me most was not Oracle. Oracle behaved exactly as you would expect a commercially aggressive corporation to behave. What surprised me was Sun. Sun was not a villain in this story — it was a relatively decent steward that genuinely cared about the project's success. And yet the governance structure it built carried the seed of every problem that followed. The copyright assignment clause did not become dangerous when Oracle signed the acquisition documents. It was always dangerous. Nobody wante</w:t>
      </w:r>
      <w:r>
        <w:t>d to think too hard about what would happen when a less benign actor inherited the rights it created. That is a pattern I suspect repeats far beyond software: institutions built by trustworthy people often fail to build structures that would survive being run by less trustworthy ones.</w:t>
      </w:r>
    </w:p>
    <w:p w14:paraId="3389BAFB" w14:textId="77777777" w:rsidR="00D05DFE" w:rsidRDefault="00B71E47">
      <w:pPr>
        <w:spacing w:after="418"/>
        <w:ind w:left="-5" w:right="-15"/>
      </w:pPr>
      <w:r>
        <w:lastRenderedPageBreak/>
        <w:t>As for whether the community made the right choice — giving up momentum and infrastructure for principle — I think they did. I also think it would have been completely understandable to stay. The people who remained and tried to work within Oracle's structure were not naive. They were making a legitimate calculation that the cost of fragmentation outweighed the cost of imperfect governance. They turned out to be wrong, but the calculation was reasonable at the time. What I take from this is that open source</w:t>
      </w:r>
      <w:r>
        <w:t xml:space="preserve"> governance is not a technical problem. It is a political and ethical one that requires the same kind of careful institutional design as any durable democratic structure. Code is easy to fork. Communities are hard to rebuild. The LibreOffice story ended well, but it ended well because hundreds of people were willing to pay a very real personal cost for a principle. You cannot build governance that depends on heroism. You have to build structures that make heroism unnecessary.</w:t>
      </w:r>
    </w:p>
    <w:p w14:paraId="6306B96E" w14:textId="1289B48D" w:rsidR="00D05DFE" w:rsidRDefault="00D05DFE" w:rsidP="00A543BF">
      <w:pPr>
        <w:spacing w:after="181" w:line="259" w:lineRule="auto"/>
        <w:ind w:left="0" w:firstLine="0"/>
        <w:jc w:val="left"/>
      </w:pPr>
    </w:p>
    <w:sectPr w:rsidR="00D05DFE">
      <w:pgSz w:w="11906" w:h="16838"/>
      <w:pgMar w:top="1599" w:right="1537" w:bottom="1660" w:left="15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DFE"/>
    <w:rsid w:val="000B084B"/>
    <w:rsid w:val="00667E32"/>
    <w:rsid w:val="00A543BF"/>
    <w:rsid w:val="00B71E47"/>
    <w:rsid w:val="00D05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A0AD"/>
  <w15:docId w15:val="{2A105F89-5CF1-40BA-B9D8-7C5A9E897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42" w:lineRule="auto"/>
      <w:ind w:left="10" w:hanging="10"/>
      <w:jc w:val="both"/>
    </w:pPr>
    <w:rPr>
      <w:rFonts w:ascii="Arial" w:eastAsia="Arial" w:hAnsi="Arial" w:cs="Arial"/>
      <w:color w:val="222222"/>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1A2E"/>
      <w:sz w:val="26"/>
    </w:rPr>
  </w:style>
  <w:style w:type="paragraph" w:styleId="Heading2">
    <w:name w:val="heading 2"/>
    <w:next w:val="Normal"/>
    <w:link w:val="Heading2Char"/>
    <w:uiPriority w:val="9"/>
    <w:unhideWhenUsed/>
    <w:qFormat/>
    <w:pPr>
      <w:keepNext/>
      <w:keepLines/>
      <w:spacing w:after="67" w:line="259" w:lineRule="auto"/>
      <w:ind w:left="10" w:hanging="10"/>
      <w:outlineLvl w:val="1"/>
    </w:pPr>
    <w:rPr>
      <w:rFonts w:ascii="Arial" w:eastAsia="Arial" w:hAnsi="Arial" w:cs="Arial"/>
      <w:b/>
      <w:color w:val="3333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333366"/>
      <w:sz w:val="22"/>
    </w:rPr>
  </w:style>
  <w:style w:type="character" w:customStyle="1" w:styleId="Heading1Char">
    <w:name w:val="Heading 1 Char"/>
    <w:link w:val="Heading1"/>
    <w:rPr>
      <w:rFonts w:ascii="Arial" w:eastAsia="Arial" w:hAnsi="Arial" w:cs="Arial"/>
      <w:b/>
      <w:color w:val="1A1A2E"/>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4090</Words>
  <Characters>23314</Characters>
  <Application>Microsoft Office Word</Application>
  <DocSecurity>0</DocSecurity>
  <Lines>194</Lines>
  <Paragraphs>54</Paragraphs>
  <ScaleCrop>false</ScaleCrop>
  <Company/>
  <LinksUpToDate>false</LinksUpToDate>
  <CharactersWithSpaces>27350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yashvivyas15@outlook.com</cp:lastModifiedBy>
  <cp:revision>3</cp:revision>
  <dcterms:created xsi:type="dcterms:W3CDTF">2026-03-31T08:30:00Z</dcterms:created>
  <dcterms:modified xsi:type="dcterms:W3CDTF">2026-03-31T08:31:00Z</dcterms:modified>
</cp:coreProperties>
</file>