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77991" w14:textId="77777777" w:rsidR="00891B64" w:rsidRPr="00891B64" w:rsidRDefault="00251A35" w:rsidP="007255F2">
      <w:pPr>
        <w:spacing w:line="240" w:lineRule="auto"/>
        <w:rPr>
          <w:rFonts w:ascii="Cambria" w:hAnsi="Cambria"/>
          <w:sz w:val="18"/>
          <w:szCs w:val="18"/>
        </w:rPr>
      </w:pPr>
      <w:r w:rsidRPr="00EC735C">
        <w:rPr>
          <w:b/>
          <w:bCs/>
          <w:color w:val="820000"/>
          <w:sz w:val="24"/>
          <w:szCs w:val="24"/>
          <w:u w:val="single"/>
        </w:rPr>
        <w:t>Executive Summary</w:t>
      </w:r>
      <w:r w:rsidR="00F87C04" w:rsidRPr="00891B64">
        <w:rPr>
          <w:sz w:val="18"/>
          <w:szCs w:val="18"/>
        </w:rPr>
        <w:br/>
      </w:r>
      <w:r w:rsidRPr="00891B64">
        <w:rPr>
          <w:sz w:val="18"/>
          <w:szCs w:val="18"/>
        </w:rPr>
        <w:t>The United States grants over 85,000 H-1B visas annually, with thousands more E-3 and H-1B1 visas, enabling skilled international talent to fill high-demand roles in industries like technology, finance, and healthcare. This analysis examines wage patterns for international students in Business Analytics and STEM roles across U.S. states, industries, and visa classes, providing valuable insights into how location, industry, and visa class affect earning potential.</w:t>
      </w:r>
    </w:p>
    <w:p w14:paraId="5C0A958E" w14:textId="6E4574EB" w:rsidR="00891B64" w:rsidRPr="00EC735C" w:rsidRDefault="00F87C04" w:rsidP="007255F2">
      <w:pPr>
        <w:spacing w:after="0" w:line="240" w:lineRule="auto"/>
        <w:rPr>
          <w:b/>
          <w:bCs/>
          <w:color w:val="820000"/>
          <w:sz w:val="18"/>
          <w:szCs w:val="18"/>
        </w:rPr>
      </w:pPr>
      <w:r w:rsidRPr="00EC735C">
        <w:rPr>
          <w:b/>
          <w:bCs/>
          <w:color w:val="820000"/>
          <w:sz w:val="20"/>
          <w:szCs w:val="20"/>
          <w:u w:val="single"/>
        </w:rPr>
        <w:t xml:space="preserve">Key </w:t>
      </w:r>
      <w:r w:rsidR="00AA0A91" w:rsidRPr="00EC735C">
        <w:rPr>
          <w:b/>
          <w:bCs/>
          <w:color w:val="820000"/>
          <w:sz w:val="20"/>
          <w:szCs w:val="20"/>
          <w:u w:val="single"/>
        </w:rPr>
        <w:t>Insights</w:t>
      </w:r>
      <w:r w:rsidRPr="00EC735C">
        <w:rPr>
          <w:b/>
          <w:bCs/>
          <w:color w:val="820000"/>
          <w:sz w:val="20"/>
          <w:szCs w:val="20"/>
          <w:u w:val="single"/>
        </w:rPr>
        <w:t>:</w:t>
      </w:r>
    </w:p>
    <w:p w14:paraId="3043F2A7" w14:textId="26FBE5EE" w:rsidR="005126A2" w:rsidRDefault="00F87C04" w:rsidP="0084736A">
      <w:pPr>
        <w:pStyle w:val="ListParagraph"/>
        <w:numPr>
          <w:ilvl w:val="0"/>
          <w:numId w:val="13"/>
        </w:numPr>
        <w:spacing w:after="0" w:line="240" w:lineRule="auto"/>
        <w:rPr>
          <w:rFonts w:ascii="Cambria" w:hAnsi="Cambria"/>
          <w:sz w:val="18"/>
          <w:szCs w:val="18"/>
        </w:rPr>
      </w:pPr>
      <w:r w:rsidRPr="00EC735C">
        <w:rPr>
          <w:b/>
          <w:bCs/>
          <w:color w:val="820000"/>
          <w:sz w:val="18"/>
          <w:szCs w:val="18"/>
        </w:rPr>
        <w:t>Wage Disparities by State</w:t>
      </w:r>
      <w:r w:rsidRPr="00EC735C">
        <w:rPr>
          <w:b/>
          <w:bCs/>
          <w:color w:val="820000"/>
          <w:sz w:val="18"/>
          <w:szCs w:val="18"/>
        </w:rPr>
        <w:t>:</w:t>
      </w:r>
      <w:r w:rsidRPr="00EC735C">
        <w:rPr>
          <w:color w:val="820000"/>
          <w:sz w:val="18"/>
          <w:szCs w:val="18"/>
        </w:rPr>
        <w:t xml:space="preserve"> </w:t>
      </w:r>
      <w:r w:rsidR="0084736A" w:rsidRPr="0084736A">
        <w:rPr>
          <w:rFonts w:ascii="Cambria" w:hAnsi="Cambria"/>
          <w:sz w:val="18"/>
          <w:szCs w:val="18"/>
        </w:rPr>
        <w:t>Average wages for analytics and STEM roles in the U.S. vary widely by location. High-cost states like California, New York, and Washington offer top salaries ranging from $230,000 to $280,000, with some specialized roles, such as Data Scientists and Machine Learning Engineers, reaching up to $2.5 million in tech and finance sectors. These roles demand advanced skills and strategic expertise. In contrast, Arizona, Texas, and Virginia offer competitive but slightly lower median wages, generally under $250,000. While these states lack extreme salary outliers, they provide a balanced approach for those seeking solid income potential alongside manageable living costs, making them appealing for early-career professionals and students.</w:t>
      </w:r>
    </w:p>
    <w:p w14:paraId="25A7F03C" w14:textId="77777777" w:rsidR="0084736A" w:rsidRPr="0084736A" w:rsidRDefault="0084736A" w:rsidP="0084736A">
      <w:pPr>
        <w:spacing w:after="0" w:line="240" w:lineRule="auto"/>
        <w:ind w:left="360"/>
        <w:rPr>
          <w:rFonts w:ascii="Cambria" w:hAnsi="Cambria"/>
          <w:sz w:val="18"/>
          <w:szCs w:val="18"/>
        </w:rPr>
      </w:pPr>
    </w:p>
    <w:p w14:paraId="60B58BB8" w14:textId="44B52F08" w:rsidR="0084736A" w:rsidRPr="0084736A" w:rsidRDefault="00891B64" w:rsidP="0084736A">
      <w:pPr>
        <w:pStyle w:val="ListParagraph"/>
        <w:numPr>
          <w:ilvl w:val="0"/>
          <w:numId w:val="13"/>
        </w:numPr>
        <w:spacing w:line="240" w:lineRule="auto"/>
        <w:rPr>
          <w:sz w:val="18"/>
          <w:szCs w:val="18"/>
        </w:rPr>
      </w:pPr>
      <w:r w:rsidRPr="00957148">
        <w:rPr>
          <w:b/>
          <w:bCs/>
          <w:color w:val="820000"/>
          <w:sz w:val="18"/>
          <w:szCs w:val="18"/>
        </w:rPr>
        <w:t>Visa Class Impact:</w:t>
      </w:r>
      <w:r w:rsidRPr="00957148">
        <w:rPr>
          <w:color w:val="820000"/>
          <w:sz w:val="18"/>
          <w:szCs w:val="18"/>
        </w:rPr>
        <w:t xml:space="preserve"> </w:t>
      </w:r>
      <w:r w:rsidR="00637767" w:rsidRPr="00637767">
        <w:rPr>
          <w:sz w:val="18"/>
          <w:szCs w:val="18"/>
        </w:rPr>
        <w:t>The H-1B visa remains the most widely available option for international professionals, with an average wage around $250,000. The E-3 Australian visa commands a slightly higher average salary at $278,000, reflecting its specialization in high-skill roles. The E-3 visa has a 10,500 annual cap for Australian nationals, which is rarely reached, making it more accessible than the H-1B.</w:t>
      </w:r>
      <w:r w:rsidR="00B74824">
        <w:rPr>
          <w:sz w:val="18"/>
          <w:szCs w:val="18"/>
        </w:rPr>
        <w:t xml:space="preserve"> </w:t>
      </w:r>
      <w:r w:rsidR="00B74824" w:rsidRPr="00B74824">
        <w:rPr>
          <w:sz w:val="18"/>
          <w:szCs w:val="18"/>
        </w:rPr>
        <w:t>H</w:t>
      </w:r>
      <w:r w:rsidR="00637767" w:rsidRPr="00B74824">
        <w:rPr>
          <w:sz w:val="18"/>
          <w:szCs w:val="18"/>
        </w:rPr>
        <w:t>-1B1 visas for Chile and Singapore are capped at 6,800 visas annually (1,400 for Chile and 5,400 for Singapore), which may contribute to competitive wages in specialized sectors. While visa type influences salary to some extent, most roles, particularly in analytics, are readily accessible through the H-1B route.</w:t>
      </w:r>
    </w:p>
    <w:p w14:paraId="43F31D3D" w14:textId="77777777" w:rsidR="0084736A" w:rsidRPr="00B74824" w:rsidRDefault="0084736A" w:rsidP="0084736A">
      <w:pPr>
        <w:pStyle w:val="ListParagraph"/>
        <w:spacing w:line="240" w:lineRule="auto"/>
        <w:rPr>
          <w:sz w:val="18"/>
          <w:szCs w:val="18"/>
        </w:rPr>
      </w:pPr>
    </w:p>
    <w:p w14:paraId="2D05A045" w14:textId="4A173CE9" w:rsidR="00F206DC" w:rsidRPr="00F206DC" w:rsidRDefault="00F87C04" w:rsidP="0084736A">
      <w:pPr>
        <w:pStyle w:val="ListParagraph"/>
        <w:numPr>
          <w:ilvl w:val="0"/>
          <w:numId w:val="13"/>
        </w:numPr>
        <w:spacing w:after="0" w:line="240" w:lineRule="auto"/>
        <w:rPr>
          <w:rFonts w:cs="Arial"/>
          <w:sz w:val="18"/>
          <w:szCs w:val="18"/>
        </w:rPr>
      </w:pPr>
      <w:r w:rsidRPr="00EC735C">
        <w:rPr>
          <w:rFonts w:cs="Arial"/>
          <w:b/>
          <w:bCs/>
          <w:color w:val="820000"/>
          <w:sz w:val="18"/>
          <w:szCs w:val="18"/>
        </w:rPr>
        <w:t>Industry Influence</w:t>
      </w:r>
      <w:r w:rsidRPr="00EC735C">
        <w:rPr>
          <w:rFonts w:cs="Arial"/>
          <w:b/>
          <w:bCs/>
          <w:color w:val="820000"/>
          <w:sz w:val="18"/>
          <w:szCs w:val="18"/>
        </w:rPr>
        <w:t>:</w:t>
      </w:r>
      <w:r w:rsidRPr="00EC735C">
        <w:rPr>
          <w:rFonts w:cs="Arial"/>
          <w:color w:val="820000"/>
          <w:sz w:val="18"/>
          <w:szCs w:val="18"/>
        </w:rPr>
        <w:t xml:space="preserve"> </w:t>
      </w:r>
      <w:r w:rsidR="00F206DC" w:rsidRPr="00F206DC">
        <w:rPr>
          <w:rFonts w:cs="Arial"/>
          <w:sz w:val="18"/>
          <w:szCs w:val="18"/>
        </w:rPr>
        <w:t>High-paying industries, including Administrative Management, Financial Investment, and Pharmaceutical Manufacturing, frequently offer average salaries above $250,000, driven by a demand for specialized analytics skills. In contrast, industries like Education and Real Estate generally offer lower wages, averaging around $190,000.</w:t>
      </w:r>
      <w:r w:rsidR="00F206DC">
        <w:rPr>
          <w:rFonts w:cs="Arial"/>
          <w:sz w:val="18"/>
          <w:szCs w:val="18"/>
        </w:rPr>
        <w:t xml:space="preserve"> </w:t>
      </w:r>
      <w:r w:rsidR="00F206DC" w:rsidRPr="00F206DC">
        <w:rPr>
          <w:rFonts w:cs="Arial"/>
          <w:sz w:val="18"/>
          <w:szCs w:val="18"/>
        </w:rPr>
        <w:t>For international students aiming for high salaries, sectors with advanced data needs—such as finance, pharmaceuticals, and technology—provide significant earning opportunities. This chart underscores how industry selection can impact potential income, making it a critical factor in career planning.</w:t>
      </w:r>
    </w:p>
    <w:p w14:paraId="0537F75D" w14:textId="4BE2303C" w:rsidR="005126A2" w:rsidRPr="005126A2" w:rsidRDefault="005126A2" w:rsidP="00F206DC">
      <w:pPr>
        <w:pStyle w:val="ListParagraph"/>
        <w:spacing w:after="0"/>
        <w:rPr>
          <w:rFonts w:ascii="Cambria" w:hAnsi="Cambria"/>
          <w:sz w:val="18"/>
          <w:szCs w:val="18"/>
        </w:rPr>
      </w:pPr>
    </w:p>
    <w:p w14:paraId="419EF0ED" w14:textId="5B6E1F4E" w:rsidR="00763818" w:rsidRPr="0028307C" w:rsidRDefault="00196332" w:rsidP="007255F2">
      <w:pPr>
        <w:pStyle w:val="ListParagraph"/>
        <w:numPr>
          <w:ilvl w:val="0"/>
          <w:numId w:val="13"/>
        </w:numPr>
        <w:spacing w:after="0" w:line="240" w:lineRule="auto"/>
        <w:rPr>
          <w:rFonts w:ascii="Cambria" w:hAnsi="Cambria"/>
          <w:sz w:val="18"/>
          <w:szCs w:val="18"/>
        </w:rPr>
      </w:pPr>
      <w:r w:rsidRPr="0028307C">
        <w:rPr>
          <w:rFonts w:cs="Arial"/>
          <w:b/>
          <w:bCs/>
          <w:color w:val="820000"/>
          <w:sz w:val="18"/>
          <w:szCs w:val="18"/>
        </w:rPr>
        <w:t>Disp</w:t>
      </w:r>
      <w:r w:rsidR="00F87C04" w:rsidRPr="0028307C">
        <w:rPr>
          <w:rFonts w:cs="Arial"/>
          <w:b/>
          <w:bCs/>
          <w:color w:val="820000"/>
          <w:sz w:val="18"/>
          <w:szCs w:val="18"/>
        </w:rPr>
        <w:t>osable Incom</w:t>
      </w:r>
      <w:r w:rsidRPr="0028307C">
        <w:rPr>
          <w:rFonts w:cs="Arial"/>
          <w:b/>
          <w:bCs/>
          <w:color w:val="820000"/>
          <w:sz w:val="18"/>
          <w:szCs w:val="18"/>
        </w:rPr>
        <w:t>e</w:t>
      </w:r>
      <w:r w:rsidR="00F87C04" w:rsidRPr="0028307C">
        <w:rPr>
          <w:rFonts w:cs="Arial"/>
          <w:b/>
          <w:bCs/>
          <w:color w:val="820000"/>
          <w:sz w:val="18"/>
          <w:szCs w:val="18"/>
        </w:rPr>
        <w:t>:</w:t>
      </w:r>
      <w:r w:rsidR="0028307C" w:rsidRPr="0028307C">
        <w:rPr>
          <w:rFonts w:cs="Arial"/>
          <w:color w:val="820000"/>
          <w:sz w:val="18"/>
          <w:szCs w:val="18"/>
        </w:rPr>
        <w:t xml:space="preserve"> </w:t>
      </w:r>
      <w:r w:rsidR="0028307C">
        <w:rPr>
          <w:rFonts w:cs="Arial"/>
          <w:color w:val="820000"/>
          <w:sz w:val="18"/>
          <w:szCs w:val="18"/>
          <w14:textFill>
            <w14:solidFill>
              <w14:srgbClr w14:val="820000">
                <w14:lumMod w14:val="50000"/>
              </w14:srgbClr>
            </w14:solidFill>
          </w14:textFill>
        </w:rPr>
        <w:t>H</w:t>
      </w:r>
      <w:r w:rsidR="00CD6EAE" w:rsidRPr="0028307C">
        <w:rPr>
          <w:rFonts w:cs="Arial"/>
          <w:sz w:val="18"/>
          <w:szCs w:val="18"/>
        </w:rPr>
        <w:t>igh-earning roles achieve optimal disposable income in low or zero-tax states like Washington, Texas, and Florida. For example, a Lead Analyst in Washington retains $2.45 million in disposable income thanks to 0% state tax, while high-tax states like California cut significantly into net earnings despite similar salaries. This highlights a strategic choice for professionals: roles in low-tax states not only enhance take-home pay but also improve overall financial flexibility, making these locations particularly attractive for maximizing income retention.</w:t>
      </w:r>
    </w:p>
    <w:p w14:paraId="7A80D20E" w14:textId="77777777" w:rsidR="00763818" w:rsidRPr="00EC735C" w:rsidRDefault="00763818" w:rsidP="007255F2">
      <w:pPr>
        <w:pStyle w:val="ListParagraph"/>
        <w:spacing w:after="0" w:line="240" w:lineRule="auto"/>
        <w:rPr>
          <w:rFonts w:ascii="Cambria" w:hAnsi="Cambria"/>
          <w:color w:val="820000"/>
          <w:sz w:val="18"/>
          <w:szCs w:val="18"/>
        </w:rPr>
      </w:pPr>
    </w:p>
    <w:p w14:paraId="69A2EFD8" w14:textId="10A07002" w:rsidR="00012131" w:rsidRPr="007255F2" w:rsidRDefault="00763818" w:rsidP="007255F2">
      <w:pPr>
        <w:spacing w:after="0" w:line="240" w:lineRule="auto"/>
        <w:rPr>
          <w:rFonts w:cs="Arial"/>
          <w:sz w:val="18"/>
          <w:szCs w:val="18"/>
        </w:rPr>
      </w:pPr>
      <w:r w:rsidRPr="00EC735C">
        <w:rPr>
          <w:rFonts w:cs="Arial"/>
          <w:b/>
          <w:bCs/>
          <w:color w:val="820000"/>
          <w:sz w:val="20"/>
          <w:szCs w:val="20"/>
          <w:u w:val="single"/>
        </w:rPr>
        <w:t>Re</w:t>
      </w:r>
      <w:r w:rsidR="00F87C04" w:rsidRPr="00EC735C">
        <w:rPr>
          <w:rFonts w:cs="Arial"/>
          <w:b/>
          <w:bCs/>
          <w:color w:val="820000"/>
          <w:sz w:val="20"/>
          <w:szCs w:val="20"/>
          <w:u w:val="single"/>
        </w:rPr>
        <w:t>commendations for International Students</w:t>
      </w:r>
      <w:r w:rsidR="00886CD9">
        <w:rPr>
          <w:rFonts w:cs="Arial"/>
          <w:b/>
          <w:bCs/>
          <w:color w:val="820000"/>
          <w:sz w:val="20"/>
          <w:szCs w:val="20"/>
          <w:u w:val="single"/>
        </w:rPr>
        <w:t xml:space="preserve"> interested in STEM</w:t>
      </w:r>
      <w:r w:rsidR="00F87C04" w:rsidRPr="00EC735C">
        <w:rPr>
          <w:rFonts w:cs="Arial"/>
          <w:b/>
          <w:bCs/>
          <w:color w:val="820000"/>
          <w:sz w:val="20"/>
          <w:szCs w:val="20"/>
          <w:u w:val="single"/>
        </w:rPr>
        <w:t>:</w:t>
      </w:r>
    </w:p>
    <w:p w14:paraId="36F8E345" w14:textId="77777777" w:rsidR="007255F2" w:rsidRDefault="00012131" w:rsidP="007255F2">
      <w:pPr>
        <w:pStyle w:val="ListParagraph"/>
        <w:numPr>
          <w:ilvl w:val="0"/>
          <w:numId w:val="17"/>
        </w:numPr>
        <w:spacing w:after="0"/>
        <w:rPr>
          <w:rFonts w:ascii="Cambria" w:hAnsi="Cambria"/>
          <w:sz w:val="18"/>
          <w:szCs w:val="18"/>
        </w:rPr>
      </w:pPr>
      <w:r w:rsidRPr="007255F2">
        <w:rPr>
          <w:rFonts w:ascii="Cambria" w:hAnsi="Cambria"/>
          <w:sz w:val="18"/>
          <w:szCs w:val="18"/>
        </w:rPr>
        <w:t>Develop High-Demand Skills: Focus on areas like machine learning, big data analytics, and quantitative analysis. These specialized skills are highly valued in sectors like finance and tech, offering competitive salaries and growth opportunities.</w:t>
      </w:r>
    </w:p>
    <w:p w14:paraId="1759B723" w14:textId="77777777" w:rsidR="007255F2" w:rsidRDefault="00012131" w:rsidP="007255F2">
      <w:pPr>
        <w:pStyle w:val="ListParagraph"/>
        <w:numPr>
          <w:ilvl w:val="0"/>
          <w:numId w:val="17"/>
        </w:numPr>
        <w:spacing w:after="0"/>
        <w:rPr>
          <w:rFonts w:ascii="Cambria" w:hAnsi="Cambria"/>
          <w:sz w:val="18"/>
          <w:szCs w:val="18"/>
        </w:rPr>
      </w:pPr>
      <w:r w:rsidRPr="007255F2">
        <w:rPr>
          <w:rFonts w:ascii="Cambria" w:hAnsi="Cambria"/>
          <w:sz w:val="18"/>
          <w:szCs w:val="18"/>
        </w:rPr>
        <w:t xml:space="preserve">Choose Locations with Balanced Costs and Wages: </w:t>
      </w:r>
      <w:proofErr w:type="spellStart"/>
      <w:r w:rsidRPr="007255F2">
        <w:rPr>
          <w:rFonts w:ascii="Cambria" w:hAnsi="Cambria"/>
          <w:sz w:val="18"/>
          <w:szCs w:val="18"/>
        </w:rPr>
        <w:t>Opt</w:t>
      </w:r>
      <w:proofErr w:type="spellEnd"/>
      <w:r w:rsidRPr="007255F2">
        <w:rPr>
          <w:rFonts w:ascii="Cambria" w:hAnsi="Cambria"/>
          <w:sz w:val="18"/>
          <w:szCs w:val="18"/>
        </w:rPr>
        <w:t xml:space="preserve"> for states such as Texas, Florida, and Colorado where wages are competitive, and living costs are manageable, maximizing income retention.</w:t>
      </w:r>
    </w:p>
    <w:p w14:paraId="53F60EB7" w14:textId="77777777" w:rsidR="007255F2" w:rsidRDefault="00012131" w:rsidP="007255F2">
      <w:pPr>
        <w:pStyle w:val="ListParagraph"/>
        <w:numPr>
          <w:ilvl w:val="0"/>
          <w:numId w:val="17"/>
        </w:numPr>
        <w:spacing w:after="0"/>
        <w:rPr>
          <w:rFonts w:ascii="Cambria" w:hAnsi="Cambria"/>
          <w:sz w:val="18"/>
          <w:szCs w:val="18"/>
        </w:rPr>
      </w:pPr>
      <w:r w:rsidRPr="007255F2">
        <w:rPr>
          <w:rFonts w:ascii="Cambria" w:hAnsi="Cambria"/>
          <w:sz w:val="18"/>
          <w:szCs w:val="18"/>
        </w:rPr>
        <w:t>Consider Visa Options: For eligible individuals, the E-3 (Australia) or H-1B1 (Chile and Singapore) visas may provide easier access and higher earning potential in specific sectors compared to the H-1B.</w:t>
      </w:r>
    </w:p>
    <w:p w14:paraId="27174E0B" w14:textId="77777777" w:rsidR="007255F2" w:rsidRDefault="00012131" w:rsidP="007255F2">
      <w:pPr>
        <w:pStyle w:val="ListParagraph"/>
        <w:numPr>
          <w:ilvl w:val="0"/>
          <w:numId w:val="17"/>
        </w:numPr>
        <w:spacing w:after="0"/>
        <w:rPr>
          <w:rFonts w:ascii="Cambria" w:hAnsi="Cambria"/>
          <w:sz w:val="18"/>
          <w:szCs w:val="18"/>
        </w:rPr>
      </w:pPr>
      <w:r w:rsidRPr="007255F2">
        <w:rPr>
          <w:rFonts w:ascii="Cambria" w:hAnsi="Cambria"/>
          <w:sz w:val="18"/>
          <w:szCs w:val="18"/>
        </w:rPr>
        <w:t xml:space="preserve">Gain Experience in High-Growth Sectors: Seek internships and roles in </w:t>
      </w:r>
      <w:r w:rsidR="00D67FD1" w:rsidRPr="007255F2">
        <w:rPr>
          <w:rFonts w:ascii="Cambria" w:hAnsi="Cambria"/>
          <w:sz w:val="18"/>
          <w:szCs w:val="18"/>
        </w:rPr>
        <w:t>T</w:t>
      </w:r>
      <w:r w:rsidRPr="007255F2">
        <w:rPr>
          <w:rFonts w:ascii="Cambria" w:hAnsi="Cambria"/>
          <w:sz w:val="18"/>
          <w:szCs w:val="18"/>
        </w:rPr>
        <w:t xml:space="preserve">ech, </w:t>
      </w:r>
      <w:r w:rsidR="00D67FD1" w:rsidRPr="007255F2">
        <w:rPr>
          <w:rFonts w:ascii="Cambria" w:hAnsi="Cambria"/>
          <w:sz w:val="18"/>
          <w:szCs w:val="18"/>
        </w:rPr>
        <w:t>F</w:t>
      </w:r>
      <w:r w:rsidRPr="007255F2">
        <w:rPr>
          <w:rFonts w:ascii="Cambria" w:hAnsi="Cambria"/>
          <w:sz w:val="18"/>
          <w:szCs w:val="18"/>
        </w:rPr>
        <w:t xml:space="preserve">inance, and </w:t>
      </w:r>
      <w:r w:rsidR="00D67FD1" w:rsidRPr="007255F2">
        <w:rPr>
          <w:rFonts w:ascii="Cambria" w:hAnsi="Cambria"/>
          <w:sz w:val="18"/>
          <w:szCs w:val="18"/>
        </w:rPr>
        <w:t>P</w:t>
      </w:r>
      <w:r w:rsidRPr="007255F2">
        <w:rPr>
          <w:rFonts w:ascii="Cambria" w:hAnsi="Cambria"/>
          <w:sz w:val="18"/>
          <w:szCs w:val="18"/>
        </w:rPr>
        <w:t>harma, known for high earnings and career advancement.</w:t>
      </w:r>
    </w:p>
    <w:p w14:paraId="765D4220" w14:textId="12CB94C7" w:rsidR="00EC735C" w:rsidRPr="007255F2" w:rsidRDefault="00012131" w:rsidP="007255F2">
      <w:pPr>
        <w:pStyle w:val="ListParagraph"/>
        <w:numPr>
          <w:ilvl w:val="0"/>
          <w:numId w:val="17"/>
        </w:numPr>
        <w:spacing w:after="0" w:line="240" w:lineRule="auto"/>
        <w:rPr>
          <w:rFonts w:ascii="Cambria" w:hAnsi="Cambria"/>
          <w:sz w:val="18"/>
          <w:szCs w:val="18"/>
        </w:rPr>
      </w:pPr>
      <w:r w:rsidRPr="007255F2">
        <w:rPr>
          <w:rFonts w:ascii="Cambria" w:hAnsi="Cambria"/>
          <w:sz w:val="18"/>
          <w:szCs w:val="18"/>
        </w:rPr>
        <w:t>Make Data-Driven Career Decisions: Use wage, location, and industry data to guide choices, aligning with both financial goals and professional growth.</w:t>
      </w:r>
    </w:p>
    <w:p w14:paraId="6E07B234" w14:textId="77777777" w:rsidR="004D1A8D" w:rsidRPr="00EC735C" w:rsidRDefault="004D1A8D" w:rsidP="007255F2">
      <w:pPr>
        <w:pStyle w:val="ListParagraph"/>
        <w:spacing w:after="0" w:line="240" w:lineRule="auto"/>
        <w:rPr>
          <w:rFonts w:ascii="Cambria" w:hAnsi="Cambria"/>
          <w:sz w:val="18"/>
          <w:szCs w:val="18"/>
        </w:rPr>
      </w:pPr>
    </w:p>
    <w:p w14:paraId="520EFC64" w14:textId="77777777" w:rsidR="007255F2" w:rsidRDefault="00F87C04" w:rsidP="007255F2">
      <w:pPr>
        <w:spacing w:line="240" w:lineRule="auto"/>
        <w:rPr>
          <w:rFonts w:cs="Arial"/>
          <w:sz w:val="18"/>
          <w:szCs w:val="18"/>
        </w:rPr>
      </w:pPr>
      <w:r w:rsidRPr="007C557E">
        <w:rPr>
          <w:rFonts w:cs="Arial"/>
          <w:sz w:val="18"/>
          <w:szCs w:val="18"/>
        </w:rPr>
        <w:t xml:space="preserve">By aligning career choices with state, industry, and role-specific wage data, international students can strategically navigate the U.S. job market, </w:t>
      </w:r>
      <w:r w:rsidRPr="007C557E">
        <w:rPr>
          <w:rFonts w:cs="Arial"/>
          <w:sz w:val="18"/>
          <w:szCs w:val="18"/>
        </w:rPr>
        <w:t xml:space="preserve">maximizing both financial outcomes and professional growth. This data-driven approach empowers informed decisions about career paths, visa options, </w:t>
      </w:r>
      <w:r w:rsidRPr="007C557E">
        <w:rPr>
          <w:rFonts w:cs="Arial"/>
          <w:sz w:val="18"/>
          <w:szCs w:val="18"/>
        </w:rPr>
        <w:br/>
        <w:t>and locations that align with students' aspirations and economic goals.</w:t>
      </w:r>
      <w:r w:rsidRPr="007C557E">
        <w:rPr>
          <w:rFonts w:cs="Arial"/>
          <w:sz w:val="18"/>
          <w:szCs w:val="18"/>
        </w:rPr>
        <w:br/>
      </w:r>
    </w:p>
    <w:p w14:paraId="6D38DA08" w14:textId="4DD07B17" w:rsidR="00535186" w:rsidRPr="002A2CD9" w:rsidRDefault="00535186" w:rsidP="007255F2">
      <w:pPr>
        <w:spacing w:line="240" w:lineRule="auto"/>
        <w:rPr>
          <w:rFonts w:cs="Arial"/>
          <w:color w:val="820000"/>
          <w:sz w:val="18"/>
          <w:szCs w:val="18"/>
          <w:u w:val="single"/>
        </w:rPr>
      </w:pPr>
      <w:r w:rsidRPr="002A2CD9">
        <w:rPr>
          <w:rFonts w:cs="Arial"/>
          <w:b/>
          <w:bCs/>
          <w:color w:val="820000"/>
          <w:sz w:val="18"/>
          <w:szCs w:val="18"/>
          <w:u w:val="single"/>
        </w:rPr>
        <w:lastRenderedPageBreak/>
        <w:t>References</w:t>
      </w:r>
    </w:p>
    <w:p w14:paraId="4D82C6E2" w14:textId="5A6F9904" w:rsidR="002A2CD9" w:rsidRPr="002A2CD9" w:rsidRDefault="002A2CD9" w:rsidP="002A2CD9">
      <w:pPr>
        <w:pStyle w:val="ListParagraph"/>
        <w:numPr>
          <w:ilvl w:val="0"/>
          <w:numId w:val="10"/>
        </w:numPr>
        <w:spacing w:after="0" w:line="240" w:lineRule="auto"/>
        <w:rPr>
          <w:rFonts w:cs="Arial"/>
          <w:sz w:val="18"/>
          <w:szCs w:val="18"/>
        </w:rPr>
      </w:pPr>
      <w:r w:rsidRPr="002A2CD9">
        <w:rPr>
          <w:rFonts w:cs="Arial"/>
          <w:sz w:val="18"/>
          <w:szCs w:val="18"/>
        </w:rPr>
        <w:t xml:space="preserve">Bureau of Labor Statistics (BLS). (n.d.). Occupational employment statistics. U.S. Department of Labor. Retrieved from </w:t>
      </w:r>
      <w:hyperlink r:id="rId9" w:history="1">
        <w:r w:rsidRPr="00AD673C">
          <w:rPr>
            <w:rStyle w:val="Hyperlink"/>
            <w:rFonts w:cs="Arial"/>
            <w:sz w:val="18"/>
            <w:szCs w:val="18"/>
          </w:rPr>
          <w:t>https://www.bls.gov/oes/</w:t>
        </w:r>
      </w:hyperlink>
    </w:p>
    <w:p w14:paraId="0BA9966D" w14:textId="761E1729" w:rsidR="002A2CD9" w:rsidRPr="002A2CD9" w:rsidRDefault="002A2CD9" w:rsidP="002A2CD9">
      <w:pPr>
        <w:pStyle w:val="ListParagraph"/>
        <w:numPr>
          <w:ilvl w:val="0"/>
          <w:numId w:val="10"/>
        </w:numPr>
        <w:spacing w:after="0" w:line="240" w:lineRule="auto"/>
        <w:rPr>
          <w:rFonts w:cs="Arial"/>
          <w:sz w:val="18"/>
          <w:szCs w:val="18"/>
        </w:rPr>
      </w:pPr>
      <w:r w:rsidRPr="002A2CD9">
        <w:rPr>
          <w:rFonts w:cs="Arial"/>
          <w:sz w:val="18"/>
          <w:szCs w:val="18"/>
        </w:rPr>
        <w:t xml:space="preserve">Missouri Economic Research and Information Center (MERIC). (n.d.). Cost of Living Data Series. Missouri Department of Economic Development. Retrieved from </w:t>
      </w:r>
      <w:hyperlink r:id="rId10" w:history="1">
        <w:r w:rsidRPr="00AD673C">
          <w:rPr>
            <w:rStyle w:val="Hyperlink"/>
            <w:rFonts w:cs="Arial"/>
            <w:sz w:val="18"/>
            <w:szCs w:val="18"/>
          </w:rPr>
          <w:t>https://meric.mo.gov/</w:t>
        </w:r>
      </w:hyperlink>
    </w:p>
    <w:p w14:paraId="3D54791F" w14:textId="527A5CB4" w:rsidR="002A2CD9" w:rsidRPr="002A2CD9" w:rsidRDefault="002A2CD9" w:rsidP="002A2CD9">
      <w:pPr>
        <w:pStyle w:val="ListParagraph"/>
        <w:numPr>
          <w:ilvl w:val="0"/>
          <w:numId w:val="10"/>
        </w:numPr>
        <w:spacing w:after="0" w:line="240" w:lineRule="auto"/>
        <w:rPr>
          <w:rFonts w:cs="Arial"/>
          <w:sz w:val="18"/>
          <w:szCs w:val="18"/>
        </w:rPr>
      </w:pPr>
      <w:r w:rsidRPr="002A2CD9">
        <w:rPr>
          <w:rFonts w:cs="Arial"/>
          <w:sz w:val="18"/>
          <w:szCs w:val="18"/>
        </w:rPr>
        <w:t xml:space="preserve">American Immigration Council. (n.d.). Research on visa programs and immigrant employment. American Immigration Council. Retrieved from </w:t>
      </w:r>
      <w:hyperlink r:id="rId11" w:history="1">
        <w:r w:rsidRPr="00AD673C">
          <w:rPr>
            <w:rStyle w:val="Hyperlink"/>
            <w:rFonts w:cs="Arial"/>
            <w:sz w:val="18"/>
            <w:szCs w:val="18"/>
          </w:rPr>
          <w:t>https://www.americanimmigrationcouncil.org/</w:t>
        </w:r>
      </w:hyperlink>
    </w:p>
    <w:p w14:paraId="04145FAC" w14:textId="4DCC99D6" w:rsidR="002A2CD9" w:rsidRPr="002A2CD9" w:rsidRDefault="002A2CD9" w:rsidP="002A2CD9">
      <w:pPr>
        <w:pStyle w:val="ListParagraph"/>
        <w:numPr>
          <w:ilvl w:val="0"/>
          <w:numId w:val="10"/>
        </w:numPr>
        <w:spacing w:after="0" w:line="240" w:lineRule="auto"/>
        <w:rPr>
          <w:rFonts w:cs="Arial"/>
          <w:sz w:val="18"/>
          <w:szCs w:val="18"/>
        </w:rPr>
      </w:pPr>
      <w:r w:rsidRPr="002A2CD9">
        <w:rPr>
          <w:rFonts w:cs="Arial"/>
          <w:sz w:val="18"/>
          <w:szCs w:val="18"/>
        </w:rPr>
        <w:t xml:space="preserve">National Bureau of Economic Research (NBER). (2011). Labor market effects of immigrants. NBER Reporter, (3). Retrieved from </w:t>
      </w:r>
      <w:hyperlink r:id="rId12" w:history="1">
        <w:r w:rsidRPr="00AD673C">
          <w:rPr>
            <w:rStyle w:val="Hyperlink"/>
            <w:rFonts w:cs="Arial"/>
            <w:sz w:val="18"/>
            <w:szCs w:val="18"/>
          </w:rPr>
          <w:t>https://www.nber.org/reporter/2011number3/labor-market-effects-immigrants</w:t>
        </w:r>
      </w:hyperlink>
    </w:p>
    <w:p w14:paraId="602DABC2" w14:textId="51771308" w:rsidR="002A2CD9" w:rsidRPr="002A2CD9" w:rsidRDefault="002A2CD9" w:rsidP="002A2CD9">
      <w:pPr>
        <w:pStyle w:val="ListParagraph"/>
        <w:numPr>
          <w:ilvl w:val="0"/>
          <w:numId w:val="10"/>
        </w:numPr>
        <w:spacing w:after="0" w:line="240" w:lineRule="auto"/>
        <w:rPr>
          <w:rFonts w:cs="Arial"/>
          <w:sz w:val="18"/>
          <w:szCs w:val="18"/>
        </w:rPr>
      </w:pPr>
      <w:r w:rsidRPr="002A2CD9">
        <w:rPr>
          <w:rFonts w:cs="Arial"/>
          <w:sz w:val="18"/>
          <w:szCs w:val="18"/>
        </w:rPr>
        <w:t>Economic Policy Institute (EPI). (n.d.). Research on labor market and immigrant employment. Economic Policy I</w:t>
      </w:r>
      <w:r w:rsidRPr="002A2CD9">
        <w:rPr>
          <w:rFonts w:cs="Arial"/>
          <w:sz w:val="18"/>
          <w:szCs w:val="18"/>
        </w:rPr>
        <w:t>n</w:t>
      </w:r>
      <w:r w:rsidRPr="002A2CD9">
        <w:rPr>
          <w:rFonts w:cs="Arial"/>
          <w:sz w:val="18"/>
          <w:szCs w:val="18"/>
        </w:rPr>
        <w:t xml:space="preserve">stitute. Retrieved from </w:t>
      </w:r>
      <w:hyperlink r:id="rId13" w:history="1">
        <w:r w:rsidRPr="00AD673C">
          <w:rPr>
            <w:rStyle w:val="Hyperlink"/>
            <w:rFonts w:cs="Arial"/>
            <w:sz w:val="18"/>
            <w:szCs w:val="18"/>
          </w:rPr>
          <w:t>https://www.epi.org/</w:t>
        </w:r>
      </w:hyperlink>
    </w:p>
    <w:p w14:paraId="4C497D0C" w14:textId="65336C27" w:rsidR="002A2CD9" w:rsidRDefault="002A2CD9" w:rsidP="002A2CD9">
      <w:pPr>
        <w:pStyle w:val="ListParagraph"/>
        <w:numPr>
          <w:ilvl w:val="0"/>
          <w:numId w:val="10"/>
        </w:numPr>
        <w:spacing w:after="0" w:line="240" w:lineRule="auto"/>
        <w:rPr>
          <w:rFonts w:cs="Arial"/>
          <w:sz w:val="18"/>
          <w:szCs w:val="18"/>
        </w:rPr>
      </w:pPr>
      <w:r w:rsidRPr="002A2CD9">
        <w:rPr>
          <w:rFonts w:cs="Arial"/>
          <w:sz w:val="18"/>
          <w:szCs w:val="18"/>
        </w:rPr>
        <w:t xml:space="preserve">LinkedIn Economic Graph Team. (n.d.). U.S. job market insights. LinkedIn. Retrieved from </w:t>
      </w:r>
      <w:hyperlink r:id="rId14" w:history="1">
        <w:r w:rsidRPr="00AD673C">
          <w:rPr>
            <w:rStyle w:val="Hyperlink"/>
            <w:rFonts w:cs="Arial"/>
            <w:sz w:val="18"/>
            <w:szCs w:val="18"/>
          </w:rPr>
          <w:t>https://economicgraph.linkedin.com/</w:t>
        </w:r>
      </w:hyperlink>
    </w:p>
    <w:p w14:paraId="7D707B6A" w14:textId="27B0FF93" w:rsidR="00E232BE" w:rsidRPr="002A2CD9" w:rsidRDefault="00F87C04" w:rsidP="002A2CD9">
      <w:pPr>
        <w:pStyle w:val="ListParagraph"/>
        <w:numPr>
          <w:ilvl w:val="0"/>
          <w:numId w:val="10"/>
        </w:numPr>
        <w:spacing w:after="0" w:line="240" w:lineRule="auto"/>
        <w:rPr>
          <w:rFonts w:cs="Arial"/>
          <w:sz w:val="18"/>
          <w:szCs w:val="18"/>
        </w:rPr>
      </w:pPr>
      <w:r w:rsidRPr="002A2CD9">
        <w:rPr>
          <w:rFonts w:cs="Arial"/>
          <w:sz w:val="18"/>
          <w:szCs w:val="18"/>
        </w:rPr>
        <w:br w:type="page"/>
      </w:r>
    </w:p>
    <w:p w14:paraId="5F3B9F46" w14:textId="77777777" w:rsidR="00E232BE" w:rsidRPr="007A05D4" w:rsidRDefault="00F87C04">
      <w:pPr>
        <w:pStyle w:val="Heading1"/>
        <w:rPr>
          <w:rFonts w:asciiTheme="minorHAnsi" w:hAnsiTheme="minorHAnsi" w:cs="Arial"/>
          <w:sz w:val="20"/>
          <w:szCs w:val="20"/>
          <w:u w:val="single"/>
        </w:rPr>
      </w:pPr>
      <w:r w:rsidRPr="007A05D4">
        <w:rPr>
          <w:rFonts w:asciiTheme="minorHAnsi" w:hAnsiTheme="minorHAnsi" w:cs="Arial"/>
          <w:sz w:val="20"/>
          <w:szCs w:val="20"/>
          <w:u w:val="single"/>
        </w:rPr>
        <w:lastRenderedPageBreak/>
        <w:t>Appendix</w:t>
      </w:r>
    </w:p>
    <w:p w14:paraId="3A7D692F" w14:textId="7B6BF6F0" w:rsidR="00196332" w:rsidRPr="007C557E" w:rsidRDefault="00196332" w:rsidP="00196332">
      <w:pPr>
        <w:rPr>
          <w:rFonts w:cs="Arial"/>
          <w:sz w:val="18"/>
          <w:szCs w:val="18"/>
        </w:rPr>
      </w:pPr>
      <w:r w:rsidRPr="006425ED">
        <w:rPr>
          <w:rFonts w:cs="Arial"/>
          <w:b/>
          <w:bCs/>
          <w:sz w:val="18"/>
          <w:szCs w:val="18"/>
        </w:rPr>
        <w:t>Figure 1:</w:t>
      </w:r>
      <w:r w:rsidRPr="007C557E">
        <w:rPr>
          <w:rFonts w:cs="Arial"/>
          <w:sz w:val="18"/>
          <w:szCs w:val="18"/>
        </w:rPr>
        <w:t xml:space="preserve"> </w:t>
      </w:r>
      <w:r w:rsidRPr="007C557E">
        <w:rPr>
          <w:rFonts w:cs="Arial"/>
          <w:sz w:val="18"/>
          <w:szCs w:val="18"/>
        </w:rPr>
        <w:t>Average Wages by State</w:t>
      </w:r>
    </w:p>
    <w:p w14:paraId="2EDD25CB" w14:textId="783901BE" w:rsidR="00196332" w:rsidRPr="007C557E" w:rsidRDefault="00196332" w:rsidP="00196332">
      <w:pPr>
        <w:rPr>
          <w:rFonts w:cs="Arial"/>
          <w:sz w:val="18"/>
          <w:szCs w:val="18"/>
        </w:rPr>
      </w:pPr>
      <w:r w:rsidRPr="007C557E">
        <w:rPr>
          <w:rFonts w:cs="Arial"/>
          <w:sz w:val="18"/>
          <w:szCs w:val="18"/>
        </w:rPr>
        <w:t>This chart shows the average wages across different states.</w:t>
      </w:r>
    </w:p>
    <w:p w14:paraId="7E9F85B5" w14:textId="7CE39212" w:rsidR="00196332" w:rsidRPr="007C557E" w:rsidRDefault="00196332">
      <w:pPr>
        <w:rPr>
          <w:rFonts w:cs="Arial"/>
          <w:sz w:val="18"/>
          <w:szCs w:val="18"/>
        </w:rPr>
      </w:pPr>
      <w:r w:rsidRPr="007C557E">
        <w:rPr>
          <w:rFonts w:eastAsia="Aptos" w:cs="Arial"/>
          <w:noProof/>
          <w:kern w:val="2"/>
          <w:sz w:val="18"/>
          <w:szCs w:val="18"/>
          <w14:ligatures w14:val="standardContextual"/>
        </w:rPr>
        <w:drawing>
          <wp:inline distT="0" distB="0" distL="0" distR="0" wp14:anchorId="4167B3FA" wp14:editId="1A3F205F">
            <wp:extent cx="5486400" cy="3135337"/>
            <wp:effectExtent l="0" t="0" r="0" b="8255"/>
            <wp:docPr id="1836351529" name="Image 1" descr="Picture">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000-000002000000}"/>
                        </a:ext>
                      </a:extLst>
                    </pic:cNvPr>
                    <pic:cNvPicPr/>
                  </pic:nvPicPr>
                  <pic:blipFill>
                    <a:blip r:embed="rId15" cstate="print"/>
                    <a:stretch>
                      <a:fillRect/>
                    </a:stretch>
                  </pic:blipFill>
                  <pic:spPr>
                    <a:xfrm>
                      <a:off x="0" y="0"/>
                      <a:ext cx="5486400" cy="3135337"/>
                    </a:xfrm>
                    <a:prstGeom prst="rect">
                      <a:avLst/>
                    </a:prstGeom>
                  </pic:spPr>
                </pic:pic>
              </a:graphicData>
            </a:graphic>
          </wp:inline>
        </w:drawing>
      </w:r>
    </w:p>
    <w:p w14:paraId="46224B45" w14:textId="77777777" w:rsidR="00C06F9C" w:rsidRPr="007C557E" w:rsidRDefault="00C06F9C">
      <w:pPr>
        <w:rPr>
          <w:rFonts w:cs="Arial"/>
          <w:sz w:val="18"/>
          <w:szCs w:val="18"/>
        </w:rPr>
      </w:pPr>
    </w:p>
    <w:p w14:paraId="24F7034D" w14:textId="0DF604AB" w:rsidR="00E232BE" w:rsidRPr="007C557E" w:rsidRDefault="00F87C04">
      <w:pPr>
        <w:rPr>
          <w:rFonts w:cs="Arial"/>
          <w:sz w:val="18"/>
          <w:szCs w:val="18"/>
        </w:rPr>
      </w:pPr>
      <w:r w:rsidRPr="006425ED">
        <w:rPr>
          <w:rFonts w:cs="Arial"/>
          <w:b/>
          <w:bCs/>
          <w:sz w:val="18"/>
          <w:szCs w:val="18"/>
        </w:rPr>
        <w:t>Figure</w:t>
      </w:r>
      <w:r w:rsidR="00C06F9C" w:rsidRPr="006425ED">
        <w:rPr>
          <w:rFonts w:cs="Arial"/>
          <w:b/>
          <w:bCs/>
          <w:sz w:val="18"/>
          <w:szCs w:val="18"/>
        </w:rPr>
        <w:t xml:space="preserve"> 2</w:t>
      </w:r>
      <w:r w:rsidRPr="007C557E">
        <w:rPr>
          <w:rFonts w:cs="Arial"/>
          <w:sz w:val="18"/>
          <w:szCs w:val="18"/>
        </w:rPr>
        <w:t>: Average Wages by Visa Class</w:t>
      </w:r>
    </w:p>
    <w:p w14:paraId="1E7C2AB6" w14:textId="1903B31D" w:rsidR="00E623AC" w:rsidRPr="007C557E" w:rsidRDefault="00F87C04">
      <w:pPr>
        <w:rPr>
          <w:rFonts w:cs="Arial"/>
          <w:sz w:val="18"/>
          <w:szCs w:val="18"/>
        </w:rPr>
      </w:pPr>
      <w:r w:rsidRPr="007C557E">
        <w:rPr>
          <w:rFonts w:cs="Arial"/>
          <w:sz w:val="18"/>
          <w:szCs w:val="18"/>
        </w:rPr>
        <w:t>This chart displays the average wages across various visa classes.</w:t>
      </w:r>
    </w:p>
    <w:p w14:paraId="2DC63E92" w14:textId="42252818" w:rsidR="00E232BE" w:rsidRPr="007C557E" w:rsidRDefault="00F87C04">
      <w:pPr>
        <w:rPr>
          <w:rFonts w:cs="Arial"/>
          <w:sz w:val="18"/>
          <w:szCs w:val="18"/>
        </w:rPr>
      </w:pPr>
      <w:r w:rsidRPr="007C557E">
        <w:rPr>
          <w:rFonts w:cs="Arial"/>
          <w:noProof/>
          <w:sz w:val="18"/>
          <w:szCs w:val="18"/>
        </w:rPr>
        <w:drawing>
          <wp:inline distT="0" distB="0" distL="0" distR="0" wp14:anchorId="3635369D" wp14:editId="0CB958EF">
            <wp:extent cx="4255129" cy="297060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avg_wage_by_visa_class.png"/>
                    <pic:cNvPicPr/>
                  </pic:nvPicPr>
                  <pic:blipFill>
                    <a:blip r:embed="rId16"/>
                    <a:stretch>
                      <a:fillRect/>
                    </a:stretch>
                  </pic:blipFill>
                  <pic:spPr>
                    <a:xfrm>
                      <a:off x="0" y="0"/>
                      <a:ext cx="4277249" cy="2986046"/>
                    </a:xfrm>
                    <a:prstGeom prst="rect">
                      <a:avLst/>
                    </a:prstGeom>
                  </pic:spPr>
                </pic:pic>
              </a:graphicData>
            </a:graphic>
          </wp:inline>
        </w:drawing>
      </w:r>
    </w:p>
    <w:p w14:paraId="4FE339A3" w14:textId="2CA2A40B" w:rsidR="00E623AC" w:rsidRPr="007C557E" w:rsidRDefault="00E623AC">
      <w:pPr>
        <w:rPr>
          <w:rFonts w:cs="Arial"/>
          <w:sz w:val="18"/>
          <w:szCs w:val="18"/>
        </w:rPr>
      </w:pPr>
    </w:p>
    <w:p w14:paraId="045AF756" w14:textId="4A57BAB3" w:rsidR="00E623AC" w:rsidRPr="007C557E" w:rsidRDefault="00C06F9C">
      <w:pPr>
        <w:rPr>
          <w:rFonts w:cs="Arial"/>
          <w:sz w:val="18"/>
          <w:szCs w:val="18"/>
        </w:rPr>
      </w:pPr>
      <w:r w:rsidRPr="006425ED">
        <w:rPr>
          <w:rFonts w:cs="Arial"/>
          <w:b/>
          <w:bCs/>
          <w:sz w:val="18"/>
          <w:szCs w:val="18"/>
        </w:rPr>
        <w:lastRenderedPageBreak/>
        <w:t xml:space="preserve">Figure </w:t>
      </w:r>
      <w:r w:rsidRPr="006425ED">
        <w:rPr>
          <w:rFonts w:cs="Arial"/>
          <w:b/>
          <w:bCs/>
          <w:sz w:val="18"/>
          <w:szCs w:val="18"/>
        </w:rPr>
        <w:t>3</w:t>
      </w:r>
      <w:r w:rsidRPr="007C557E">
        <w:rPr>
          <w:rFonts w:cs="Arial"/>
          <w:sz w:val="18"/>
          <w:szCs w:val="18"/>
        </w:rPr>
        <w:t>: Wage Disparities across states</w:t>
      </w:r>
      <w:r w:rsidR="006425ED">
        <w:rPr>
          <w:rFonts w:cs="Arial"/>
          <w:sz w:val="18"/>
          <w:szCs w:val="18"/>
        </w:rPr>
        <w:t xml:space="preserve"> in a table</w:t>
      </w:r>
    </w:p>
    <w:p w14:paraId="1BD53926" w14:textId="7F1481A4" w:rsidR="00E623AC" w:rsidRPr="007C557E" w:rsidRDefault="009521EA">
      <w:pPr>
        <w:rPr>
          <w:rFonts w:cs="Arial"/>
          <w:sz w:val="18"/>
          <w:szCs w:val="18"/>
        </w:rPr>
      </w:pPr>
      <w:r w:rsidRPr="007C557E">
        <w:rPr>
          <w:rFonts w:eastAsia="Aptos" w:cs="Arial"/>
          <w:kern w:val="2"/>
          <w:sz w:val="18"/>
          <w:szCs w:val="18"/>
          <w14:ligatures w14:val="standardContextual"/>
        </w:rPr>
        <w:drawing>
          <wp:inline distT="0" distB="0" distL="0" distR="0" wp14:anchorId="50BE671D" wp14:editId="42D72089">
            <wp:extent cx="3191347" cy="3467256"/>
            <wp:effectExtent l="0" t="0" r="9525" b="0"/>
            <wp:docPr id="1832949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9199" name="Picture 1" descr="A screenshot of a computer&#10;&#10;Description automatically generated"/>
                    <pic:cNvPicPr/>
                  </pic:nvPicPr>
                  <pic:blipFill>
                    <a:blip r:embed="rId17"/>
                    <a:stretch>
                      <a:fillRect/>
                    </a:stretch>
                  </pic:blipFill>
                  <pic:spPr>
                    <a:xfrm>
                      <a:off x="0" y="0"/>
                      <a:ext cx="3226364" cy="3505301"/>
                    </a:xfrm>
                    <a:prstGeom prst="rect">
                      <a:avLst/>
                    </a:prstGeom>
                  </pic:spPr>
                </pic:pic>
              </a:graphicData>
            </a:graphic>
          </wp:inline>
        </w:drawing>
      </w:r>
    </w:p>
    <w:p w14:paraId="202EBC62" w14:textId="77777777" w:rsidR="009521EA" w:rsidRPr="007C557E" w:rsidRDefault="009521EA">
      <w:pPr>
        <w:rPr>
          <w:rFonts w:cs="Arial"/>
          <w:sz w:val="18"/>
          <w:szCs w:val="18"/>
        </w:rPr>
      </w:pPr>
    </w:p>
    <w:p w14:paraId="5C8CCF09" w14:textId="77777777" w:rsidR="00E623AC" w:rsidRPr="007C557E" w:rsidRDefault="00E623AC">
      <w:pPr>
        <w:rPr>
          <w:rFonts w:cs="Arial"/>
          <w:sz w:val="18"/>
          <w:szCs w:val="18"/>
        </w:rPr>
      </w:pPr>
    </w:p>
    <w:p w14:paraId="295B2635" w14:textId="14287C85" w:rsidR="00E232BE" w:rsidRPr="007C557E" w:rsidRDefault="00F87C04">
      <w:pPr>
        <w:rPr>
          <w:rFonts w:cs="Arial"/>
          <w:sz w:val="18"/>
          <w:szCs w:val="18"/>
        </w:rPr>
      </w:pPr>
      <w:r w:rsidRPr="006425ED">
        <w:rPr>
          <w:rFonts w:cs="Arial"/>
          <w:b/>
          <w:bCs/>
          <w:sz w:val="18"/>
          <w:szCs w:val="18"/>
        </w:rPr>
        <w:t xml:space="preserve">Figure </w:t>
      </w:r>
      <w:r w:rsidR="00C540B0" w:rsidRPr="006425ED">
        <w:rPr>
          <w:rFonts w:cs="Arial"/>
          <w:b/>
          <w:bCs/>
          <w:sz w:val="18"/>
          <w:szCs w:val="18"/>
        </w:rPr>
        <w:t>4</w:t>
      </w:r>
      <w:r w:rsidRPr="006425ED">
        <w:rPr>
          <w:rFonts w:cs="Arial"/>
          <w:b/>
          <w:bCs/>
          <w:sz w:val="18"/>
          <w:szCs w:val="18"/>
        </w:rPr>
        <w:t>:</w:t>
      </w:r>
      <w:r w:rsidRPr="007C557E">
        <w:rPr>
          <w:rFonts w:cs="Arial"/>
          <w:sz w:val="18"/>
          <w:szCs w:val="18"/>
        </w:rPr>
        <w:t xml:space="preserve"> Top 20 Industries by Average Wage</w:t>
      </w:r>
    </w:p>
    <w:p w14:paraId="28D57774" w14:textId="542B1D2B" w:rsidR="00E232BE" w:rsidRDefault="00F87C04">
      <w:pPr>
        <w:rPr>
          <w:rFonts w:cs="Arial"/>
          <w:sz w:val="18"/>
          <w:szCs w:val="18"/>
        </w:rPr>
      </w:pPr>
      <w:r w:rsidRPr="007C557E">
        <w:rPr>
          <w:rFonts w:cs="Arial"/>
          <w:sz w:val="18"/>
          <w:szCs w:val="18"/>
        </w:rPr>
        <w:t>This chart highlights the top 20 industries by average wage.</w:t>
      </w:r>
    </w:p>
    <w:p w14:paraId="419CE592" w14:textId="150ADC41" w:rsidR="00C540B0" w:rsidRDefault="00C540B0">
      <w:pPr>
        <w:rPr>
          <w:rFonts w:cs="Arial"/>
          <w:sz w:val="18"/>
          <w:szCs w:val="18"/>
        </w:rPr>
      </w:pPr>
      <w:r w:rsidRPr="007C557E">
        <w:rPr>
          <w:rFonts w:eastAsia="MS Mincho" w:cs="Arial"/>
          <w:sz w:val="18"/>
          <w:szCs w:val="18"/>
        </w:rPr>
        <w:drawing>
          <wp:anchor distT="0" distB="0" distL="114300" distR="114300" simplePos="0" relativeHeight="251663872" behindDoc="1" locked="0" layoutInCell="1" allowOverlap="1" wp14:anchorId="38BD1883" wp14:editId="1B4803DB">
            <wp:simplePos x="0" y="0"/>
            <wp:positionH relativeFrom="margin">
              <wp:posOffset>-125095</wp:posOffset>
            </wp:positionH>
            <wp:positionV relativeFrom="paragraph">
              <wp:posOffset>62865</wp:posOffset>
            </wp:positionV>
            <wp:extent cx="4702810" cy="3133090"/>
            <wp:effectExtent l="0" t="0" r="2540" b="0"/>
            <wp:wrapTight wrapText="bothSides">
              <wp:wrapPolygon edited="0">
                <wp:start x="0" y="0"/>
                <wp:lineTo x="0" y="21407"/>
                <wp:lineTo x="21524" y="21407"/>
                <wp:lineTo x="21524" y="0"/>
                <wp:lineTo x="0" y="0"/>
              </wp:wrapPolygon>
            </wp:wrapTight>
            <wp:docPr id="535920590"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02810" cy="3133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7E9CA" w14:textId="77777777" w:rsidR="00C540B0" w:rsidRPr="007C557E" w:rsidRDefault="00C540B0">
      <w:pPr>
        <w:rPr>
          <w:rFonts w:cs="Arial"/>
          <w:sz w:val="18"/>
          <w:szCs w:val="18"/>
        </w:rPr>
      </w:pPr>
    </w:p>
    <w:p w14:paraId="20545976" w14:textId="36E06313" w:rsidR="00E232BE" w:rsidRPr="007C557E" w:rsidRDefault="00E232BE">
      <w:pPr>
        <w:rPr>
          <w:rFonts w:cs="Arial"/>
          <w:sz w:val="18"/>
          <w:szCs w:val="18"/>
        </w:rPr>
      </w:pPr>
    </w:p>
    <w:p w14:paraId="1C2302A9" w14:textId="7349A5F8" w:rsidR="00E623AC" w:rsidRDefault="00E623AC">
      <w:pPr>
        <w:rPr>
          <w:rFonts w:cs="Arial"/>
          <w:sz w:val="18"/>
          <w:szCs w:val="18"/>
        </w:rPr>
      </w:pPr>
    </w:p>
    <w:p w14:paraId="32AD33D2" w14:textId="77777777" w:rsidR="00C540B0" w:rsidRDefault="00C540B0">
      <w:pPr>
        <w:rPr>
          <w:rFonts w:cs="Arial"/>
          <w:sz w:val="18"/>
          <w:szCs w:val="18"/>
        </w:rPr>
      </w:pPr>
    </w:p>
    <w:p w14:paraId="34968C55" w14:textId="77777777" w:rsidR="00C540B0" w:rsidRDefault="00C540B0">
      <w:pPr>
        <w:rPr>
          <w:rFonts w:cs="Arial"/>
          <w:sz w:val="18"/>
          <w:szCs w:val="18"/>
        </w:rPr>
      </w:pPr>
    </w:p>
    <w:p w14:paraId="22BDD4BA" w14:textId="77777777" w:rsidR="00C540B0" w:rsidRDefault="00C540B0">
      <w:pPr>
        <w:rPr>
          <w:rFonts w:cs="Arial"/>
          <w:sz w:val="18"/>
          <w:szCs w:val="18"/>
        </w:rPr>
      </w:pPr>
    </w:p>
    <w:p w14:paraId="18022F77" w14:textId="77777777" w:rsidR="00C540B0" w:rsidRDefault="00C540B0">
      <w:pPr>
        <w:rPr>
          <w:rFonts w:cs="Arial"/>
          <w:sz w:val="18"/>
          <w:szCs w:val="18"/>
        </w:rPr>
      </w:pPr>
    </w:p>
    <w:p w14:paraId="0512BDD8" w14:textId="77777777" w:rsidR="00C540B0" w:rsidRDefault="00C540B0">
      <w:pPr>
        <w:rPr>
          <w:rFonts w:cs="Arial"/>
          <w:sz w:val="18"/>
          <w:szCs w:val="18"/>
        </w:rPr>
      </w:pPr>
    </w:p>
    <w:p w14:paraId="7E69F230" w14:textId="77777777" w:rsidR="00C540B0" w:rsidRDefault="00C540B0">
      <w:pPr>
        <w:rPr>
          <w:rFonts w:cs="Arial"/>
          <w:sz w:val="18"/>
          <w:szCs w:val="18"/>
        </w:rPr>
      </w:pPr>
    </w:p>
    <w:p w14:paraId="766F41C6" w14:textId="77777777" w:rsidR="00C540B0" w:rsidRDefault="00C540B0">
      <w:pPr>
        <w:rPr>
          <w:rFonts w:cs="Arial"/>
          <w:sz w:val="18"/>
          <w:szCs w:val="18"/>
        </w:rPr>
      </w:pPr>
    </w:p>
    <w:p w14:paraId="444FDAEC" w14:textId="4FB16F0C" w:rsidR="00C540B0" w:rsidRPr="00C540B0" w:rsidRDefault="00C540B0" w:rsidP="00C540B0">
      <w:pPr>
        <w:rPr>
          <w:rFonts w:cs="Arial"/>
          <w:sz w:val="18"/>
          <w:szCs w:val="18"/>
        </w:rPr>
      </w:pPr>
      <w:r w:rsidRPr="006425ED">
        <w:rPr>
          <w:rFonts w:cs="Arial"/>
          <w:b/>
          <w:bCs/>
          <w:sz w:val="18"/>
          <w:szCs w:val="18"/>
        </w:rPr>
        <w:lastRenderedPageBreak/>
        <w:t xml:space="preserve">Figure </w:t>
      </w:r>
      <w:r w:rsidRPr="006425ED">
        <w:rPr>
          <w:rFonts w:cs="Arial"/>
          <w:b/>
          <w:bCs/>
          <w:sz w:val="18"/>
          <w:szCs w:val="18"/>
        </w:rPr>
        <w:t>5</w:t>
      </w:r>
      <w:r w:rsidRPr="00C540B0">
        <w:rPr>
          <w:rFonts w:cs="Arial"/>
          <w:sz w:val="18"/>
          <w:szCs w:val="18"/>
        </w:rPr>
        <w:t>: Top 20 Industries by Average Wage</w:t>
      </w:r>
    </w:p>
    <w:p w14:paraId="459578B7" w14:textId="7C4E58AB" w:rsidR="00C540B0" w:rsidRDefault="00C540B0">
      <w:pPr>
        <w:rPr>
          <w:rFonts w:cs="Arial"/>
          <w:sz w:val="18"/>
          <w:szCs w:val="18"/>
        </w:rPr>
      </w:pPr>
      <w:r w:rsidRPr="00C540B0">
        <w:rPr>
          <w:rFonts w:cs="Arial"/>
          <w:sz w:val="18"/>
          <w:szCs w:val="18"/>
        </w:rPr>
        <w:t>This chart highlights the top 20 industries by average wage.</w:t>
      </w:r>
    </w:p>
    <w:p w14:paraId="74B33CBF" w14:textId="29F62E3B" w:rsidR="00C540B0" w:rsidRDefault="00C540B0">
      <w:pPr>
        <w:rPr>
          <w:rFonts w:cs="Arial"/>
          <w:sz w:val="18"/>
          <w:szCs w:val="18"/>
        </w:rPr>
      </w:pPr>
      <w:r w:rsidRPr="00C540B0">
        <w:rPr>
          <w:rFonts w:cs="Arial"/>
          <w:sz w:val="18"/>
          <w:szCs w:val="18"/>
        </w:rPr>
        <w:drawing>
          <wp:inline distT="0" distB="0" distL="0" distR="0" wp14:anchorId="645844CE" wp14:editId="324B05A8">
            <wp:extent cx="5860100" cy="1887648"/>
            <wp:effectExtent l="0" t="0" r="7620" b="0"/>
            <wp:docPr id="1085921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21953" name="Picture 1" descr="A screenshot of a computer&#10;&#10;Description automatically generated"/>
                    <pic:cNvPicPr/>
                  </pic:nvPicPr>
                  <pic:blipFill>
                    <a:blip r:embed="rId19"/>
                    <a:stretch>
                      <a:fillRect/>
                    </a:stretch>
                  </pic:blipFill>
                  <pic:spPr>
                    <a:xfrm>
                      <a:off x="0" y="0"/>
                      <a:ext cx="5904106" cy="1901823"/>
                    </a:xfrm>
                    <a:prstGeom prst="rect">
                      <a:avLst/>
                    </a:prstGeom>
                  </pic:spPr>
                </pic:pic>
              </a:graphicData>
            </a:graphic>
          </wp:inline>
        </w:drawing>
      </w:r>
    </w:p>
    <w:p w14:paraId="4A48B1E6" w14:textId="77777777" w:rsidR="00DA7F94" w:rsidRDefault="00DA7F94">
      <w:pPr>
        <w:rPr>
          <w:rFonts w:cs="Arial"/>
          <w:sz w:val="18"/>
          <w:szCs w:val="18"/>
        </w:rPr>
      </w:pPr>
    </w:p>
    <w:p w14:paraId="34FC4026" w14:textId="590B82FC" w:rsidR="005D4A64" w:rsidRDefault="00A527DA">
      <w:pPr>
        <w:rPr>
          <w:rFonts w:cs="Arial"/>
          <w:sz w:val="18"/>
          <w:szCs w:val="18"/>
        </w:rPr>
      </w:pPr>
      <w:r w:rsidRPr="006425ED">
        <w:rPr>
          <w:rFonts w:cs="Arial"/>
          <w:b/>
          <w:bCs/>
          <w:sz w:val="18"/>
          <w:szCs w:val="18"/>
        </w:rPr>
        <w:t>Figure 6</w:t>
      </w:r>
      <w:r w:rsidR="00DA7F94">
        <w:rPr>
          <w:rFonts w:cs="Arial"/>
          <w:sz w:val="18"/>
          <w:szCs w:val="18"/>
        </w:rPr>
        <w:t xml:space="preserve">: </w:t>
      </w:r>
      <w:r w:rsidR="006425ED" w:rsidRPr="006425ED">
        <w:rPr>
          <w:rFonts w:cs="Arial"/>
          <w:sz w:val="18"/>
          <w:szCs w:val="18"/>
        </w:rPr>
        <w:t>Comparison of Average Wage and Disposable Income Across States (Top 10 by Disposable Income)</w:t>
      </w:r>
    </w:p>
    <w:p w14:paraId="20BDDDF1" w14:textId="77777777" w:rsidR="005C09BE" w:rsidRPr="005C09BE" w:rsidRDefault="005C09BE" w:rsidP="005C09BE">
      <w:pPr>
        <w:spacing w:before="100" w:beforeAutospacing="1" w:after="100" w:afterAutospacing="1" w:line="240" w:lineRule="auto"/>
        <w:rPr>
          <w:rFonts w:ascii="Times New Roman" w:eastAsia="Times New Roman" w:hAnsi="Times New Roman" w:cs="Times New Roman"/>
          <w:sz w:val="24"/>
          <w:szCs w:val="24"/>
        </w:rPr>
      </w:pPr>
      <w:r w:rsidRPr="005C09BE">
        <w:rPr>
          <w:rFonts w:ascii="Times New Roman" w:eastAsia="Times New Roman" w:hAnsi="Times New Roman" w:cs="Times New Roman"/>
          <w:noProof/>
          <w:sz w:val="24"/>
          <w:szCs w:val="24"/>
        </w:rPr>
        <w:drawing>
          <wp:inline distT="0" distB="0" distL="0" distR="0" wp14:anchorId="2EF82AE3" wp14:editId="6EA18F4C">
            <wp:extent cx="5316931" cy="3529473"/>
            <wp:effectExtent l="0" t="0" r="0" b="0"/>
            <wp:docPr id="1417787162" name="Picture 1" descr="A graph of 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87162" name="Picture 1" descr="A graph of a graph with red and blue bar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3747" cy="3567189"/>
                    </a:xfrm>
                    <a:prstGeom prst="rect">
                      <a:avLst/>
                    </a:prstGeom>
                    <a:noFill/>
                    <a:ln>
                      <a:noFill/>
                    </a:ln>
                  </pic:spPr>
                </pic:pic>
              </a:graphicData>
            </a:graphic>
          </wp:inline>
        </w:drawing>
      </w:r>
    </w:p>
    <w:p w14:paraId="72D67BEA" w14:textId="77777777" w:rsidR="005C09BE" w:rsidRPr="007C557E" w:rsidRDefault="005C09BE">
      <w:pPr>
        <w:rPr>
          <w:rFonts w:cs="Arial"/>
          <w:sz w:val="18"/>
          <w:szCs w:val="18"/>
        </w:rPr>
      </w:pPr>
    </w:p>
    <w:sectPr w:rsidR="005C09BE" w:rsidRPr="007C55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B3826"/>
    <w:multiLevelType w:val="hybridMultilevel"/>
    <w:tmpl w:val="1E420C22"/>
    <w:lvl w:ilvl="0" w:tplc="B284E8EC">
      <w:start w:val="1"/>
      <w:numFmt w:val="decimal"/>
      <w:lvlText w:val="%1."/>
      <w:lvlJc w:val="left"/>
      <w:pPr>
        <w:ind w:left="720" w:hanging="360"/>
      </w:pPr>
      <w:rPr>
        <w:color w:val="82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83E29"/>
    <w:multiLevelType w:val="hybridMultilevel"/>
    <w:tmpl w:val="D444A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E66A9"/>
    <w:multiLevelType w:val="hybridMultilevel"/>
    <w:tmpl w:val="806A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64BB0"/>
    <w:multiLevelType w:val="hybridMultilevel"/>
    <w:tmpl w:val="C6AE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227B5"/>
    <w:multiLevelType w:val="hybridMultilevel"/>
    <w:tmpl w:val="1174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92F85"/>
    <w:multiLevelType w:val="hybridMultilevel"/>
    <w:tmpl w:val="1556C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1A3C9C"/>
    <w:multiLevelType w:val="hybridMultilevel"/>
    <w:tmpl w:val="BB70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214D8D"/>
    <w:multiLevelType w:val="hybridMultilevel"/>
    <w:tmpl w:val="B712A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7504353">
    <w:abstractNumId w:val="8"/>
  </w:num>
  <w:num w:numId="2" w16cid:durableId="1463842859">
    <w:abstractNumId w:val="6"/>
  </w:num>
  <w:num w:numId="3" w16cid:durableId="897204139">
    <w:abstractNumId w:val="5"/>
  </w:num>
  <w:num w:numId="4" w16cid:durableId="1280725908">
    <w:abstractNumId w:val="4"/>
  </w:num>
  <w:num w:numId="5" w16cid:durableId="423115006">
    <w:abstractNumId w:val="7"/>
  </w:num>
  <w:num w:numId="6" w16cid:durableId="509678906">
    <w:abstractNumId w:val="3"/>
  </w:num>
  <w:num w:numId="7" w16cid:durableId="483086844">
    <w:abstractNumId w:val="2"/>
  </w:num>
  <w:num w:numId="8" w16cid:durableId="896817038">
    <w:abstractNumId w:val="1"/>
  </w:num>
  <w:num w:numId="9" w16cid:durableId="1448423479">
    <w:abstractNumId w:val="0"/>
  </w:num>
  <w:num w:numId="10" w16cid:durableId="850527917">
    <w:abstractNumId w:val="14"/>
  </w:num>
  <w:num w:numId="11" w16cid:durableId="327681628">
    <w:abstractNumId w:val="10"/>
  </w:num>
  <w:num w:numId="12" w16cid:durableId="1791892916">
    <w:abstractNumId w:val="11"/>
  </w:num>
  <w:num w:numId="13" w16cid:durableId="1389262776">
    <w:abstractNumId w:val="9"/>
  </w:num>
  <w:num w:numId="14" w16cid:durableId="442069418">
    <w:abstractNumId w:val="13"/>
  </w:num>
  <w:num w:numId="15" w16cid:durableId="940528768">
    <w:abstractNumId w:val="15"/>
  </w:num>
  <w:num w:numId="16" w16cid:durableId="5862060">
    <w:abstractNumId w:val="16"/>
  </w:num>
  <w:num w:numId="17" w16cid:durableId="1637560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131"/>
    <w:rsid w:val="0001747E"/>
    <w:rsid w:val="00034616"/>
    <w:rsid w:val="0006063C"/>
    <w:rsid w:val="0009615E"/>
    <w:rsid w:val="000D24C5"/>
    <w:rsid w:val="0015074B"/>
    <w:rsid w:val="001512A7"/>
    <w:rsid w:val="00153276"/>
    <w:rsid w:val="00155B68"/>
    <w:rsid w:val="00196332"/>
    <w:rsid w:val="002428C5"/>
    <w:rsid w:val="00251A35"/>
    <w:rsid w:val="00277049"/>
    <w:rsid w:val="0028307C"/>
    <w:rsid w:val="00290BED"/>
    <w:rsid w:val="0029639D"/>
    <w:rsid w:val="002A2CD9"/>
    <w:rsid w:val="00326CC2"/>
    <w:rsid w:val="00326F90"/>
    <w:rsid w:val="003B548E"/>
    <w:rsid w:val="004B0CFC"/>
    <w:rsid w:val="004D1A8D"/>
    <w:rsid w:val="005126A2"/>
    <w:rsid w:val="00535186"/>
    <w:rsid w:val="005C09BE"/>
    <w:rsid w:val="005D4A64"/>
    <w:rsid w:val="00637767"/>
    <w:rsid w:val="006425ED"/>
    <w:rsid w:val="006E6AFB"/>
    <w:rsid w:val="007255F2"/>
    <w:rsid w:val="00763818"/>
    <w:rsid w:val="007A0340"/>
    <w:rsid w:val="007A05D4"/>
    <w:rsid w:val="007B0FD5"/>
    <w:rsid w:val="007C557E"/>
    <w:rsid w:val="0084736A"/>
    <w:rsid w:val="00883ED4"/>
    <w:rsid w:val="00886CD9"/>
    <w:rsid w:val="00891B64"/>
    <w:rsid w:val="00932681"/>
    <w:rsid w:val="009521EA"/>
    <w:rsid w:val="00957148"/>
    <w:rsid w:val="009A101D"/>
    <w:rsid w:val="009B28E7"/>
    <w:rsid w:val="009B6A4E"/>
    <w:rsid w:val="00A527DA"/>
    <w:rsid w:val="00AA0A91"/>
    <w:rsid w:val="00AA1D8D"/>
    <w:rsid w:val="00AD1A67"/>
    <w:rsid w:val="00B47730"/>
    <w:rsid w:val="00B513FE"/>
    <w:rsid w:val="00B74824"/>
    <w:rsid w:val="00BE0349"/>
    <w:rsid w:val="00C06F9C"/>
    <w:rsid w:val="00C16B7B"/>
    <w:rsid w:val="00C53A4C"/>
    <w:rsid w:val="00C540B0"/>
    <w:rsid w:val="00CB0664"/>
    <w:rsid w:val="00CB577A"/>
    <w:rsid w:val="00CD6EAE"/>
    <w:rsid w:val="00D26794"/>
    <w:rsid w:val="00D411AC"/>
    <w:rsid w:val="00D42189"/>
    <w:rsid w:val="00D67FD1"/>
    <w:rsid w:val="00DA7F94"/>
    <w:rsid w:val="00E232BE"/>
    <w:rsid w:val="00E57E4D"/>
    <w:rsid w:val="00E623AC"/>
    <w:rsid w:val="00EC735C"/>
    <w:rsid w:val="00F000E9"/>
    <w:rsid w:val="00F206DC"/>
    <w:rsid w:val="00F37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82BD1"/>
  <w14:defaultImageDpi w14:val="300"/>
  <w15:docId w15:val="{72CB369D-BC2A-4803-B8C4-0A8E696B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2189"/>
    <w:rPr>
      <w:color w:val="0000FF" w:themeColor="hyperlink"/>
      <w:u w:val="single"/>
    </w:rPr>
  </w:style>
  <w:style w:type="character" w:styleId="UnresolvedMention">
    <w:name w:val="Unresolved Mention"/>
    <w:basedOn w:val="DefaultParagraphFont"/>
    <w:uiPriority w:val="99"/>
    <w:semiHidden/>
    <w:unhideWhenUsed/>
    <w:rsid w:val="00D42189"/>
    <w:rPr>
      <w:color w:val="605E5C"/>
      <w:shd w:val="clear" w:color="auto" w:fill="E1DFDD"/>
    </w:rPr>
  </w:style>
  <w:style w:type="paragraph" w:styleId="NormalWeb">
    <w:name w:val="Normal (Web)"/>
    <w:basedOn w:val="Normal"/>
    <w:uiPriority w:val="99"/>
    <w:semiHidden/>
    <w:unhideWhenUsed/>
    <w:rsid w:val="00F206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589463">
      <w:bodyDiv w:val="1"/>
      <w:marLeft w:val="0"/>
      <w:marRight w:val="0"/>
      <w:marTop w:val="0"/>
      <w:marBottom w:val="0"/>
      <w:divBdr>
        <w:top w:val="none" w:sz="0" w:space="0" w:color="auto"/>
        <w:left w:val="none" w:sz="0" w:space="0" w:color="auto"/>
        <w:bottom w:val="none" w:sz="0" w:space="0" w:color="auto"/>
        <w:right w:val="none" w:sz="0" w:space="0" w:color="auto"/>
      </w:divBdr>
    </w:div>
    <w:div w:id="9957614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pi.org/"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nber.org/reporter/2011number3/labor-market-effects-immigrants"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immigrationcouncil.org/"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hyperlink" Target="https://meric.mo.gov/" TargetMode="Externa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hyperlink" Target="https://www.bls.gov/oes/" TargetMode="External"/><Relationship Id="rId14" Type="http://schemas.openxmlformats.org/officeDocument/2006/relationships/hyperlink" Target="https://economicgraph.linkedi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20C0B68B4F6241865A41388ED064B2" ma:contentTypeVersion="5" ma:contentTypeDescription="Create a new document." ma:contentTypeScope="" ma:versionID="542029be227fe7e185eeb1dbf76724ec">
  <xsd:schema xmlns:xsd="http://www.w3.org/2001/XMLSchema" xmlns:xs="http://www.w3.org/2001/XMLSchema" xmlns:p="http://schemas.microsoft.com/office/2006/metadata/properties" xmlns:ns3="65ff53dc-83e9-4e39-8d41-131da2ff3e58" targetNamespace="http://schemas.microsoft.com/office/2006/metadata/properties" ma:root="true" ma:fieldsID="e0b8c5b6e6271b1a6ab3f643878a3fb6" ns3:_="">
    <xsd:import namespace="65ff53dc-83e9-4e39-8d41-131da2ff3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ff53dc-83e9-4e39-8d41-131da2ff3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5DA5240-F226-4CF3-9B03-E321BFF189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ff53dc-83e9-4e39-8d41-131da2ff3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68457F-E7DA-4715-AE8B-08C9A4FB6507}">
  <ds:schemaRefs>
    <ds:schemaRef ds:uri="http://schemas.microsoft.com/sharepoint/v3/contenttype/forms"/>
  </ds:schemaRefs>
</ds:datastoreItem>
</file>

<file path=customXml/itemProps4.xml><?xml version="1.0" encoding="utf-8"?>
<ds:datastoreItem xmlns:ds="http://schemas.openxmlformats.org/officeDocument/2006/customXml" ds:itemID="{31B6565C-FBE2-4CAF-ABCA-C3CEADA23E1C}">
  <ds:schemaRefs>
    <ds:schemaRef ds:uri="http://purl.org/dc/dcmitype/"/>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elements/1.1/"/>
    <ds:schemaRef ds:uri="http://schemas.openxmlformats.org/package/2006/metadata/core-properties"/>
    <ds:schemaRef ds:uri="65ff53dc-83e9-4e39-8d41-131da2ff3e5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6479</CharactersWithSpaces>
  <SharedDoc>false</SharedDoc>
  <HyperlinkBase/>
  <HLinks>
    <vt:vector size="36" baseType="variant">
      <vt:variant>
        <vt:i4>3670125</vt:i4>
      </vt:variant>
      <vt:variant>
        <vt:i4>15</vt:i4>
      </vt:variant>
      <vt:variant>
        <vt:i4>0</vt:i4>
      </vt:variant>
      <vt:variant>
        <vt:i4>5</vt:i4>
      </vt:variant>
      <vt:variant>
        <vt:lpwstr>https://economicgraph.linkedin.com/</vt:lpwstr>
      </vt:variant>
      <vt:variant>
        <vt:lpwstr/>
      </vt:variant>
      <vt:variant>
        <vt:i4>4915268</vt:i4>
      </vt:variant>
      <vt:variant>
        <vt:i4>12</vt:i4>
      </vt:variant>
      <vt:variant>
        <vt:i4>0</vt:i4>
      </vt:variant>
      <vt:variant>
        <vt:i4>5</vt:i4>
      </vt:variant>
      <vt:variant>
        <vt:lpwstr>https://www.epi.org/</vt:lpwstr>
      </vt:variant>
      <vt:variant>
        <vt:lpwstr/>
      </vt:variant>
      <vt:variant>
        <vt:i4>1638411</vt:i4>
      </vt:variant>
      <vt:variant>
        <vt:i4>9</vt:i4>
      </vt:variant>
      <vt:variant>
        <vt:i4>0</vt:i4>
      </vt:variant>
      <vt:variant>
        <vt:i4>5</vt:i4>
      </vt:variant>
      <vt:variant>
        <vt:lpwstr>https://www.nber.org/reporter/2011number3/labor-market-effects-immigrants</vt:lpwstr>
      </vt:variant>
      <vt:variant>
        <vt:lpwstr/>
      </vt:variant>
      <vt:variant>
        <vt:i4>2490493</vt:i4>
      </vt:variant>
      <vt:variant>
        <vt:i4>6</vt:i4>
      </vt:variant>
      <vt:variant>
        <vt:i4>0</vt:i4>
      </vt:variant>
      <vt:variant>
        <vt:i4>5</vt:i4>
      </vt:variant>
      <vt:variant>
        <vt:lpwstr>https://www.americanimmigrationcouncil.org/</vt:lpwstr>
      </vt:variant>
      <vt:variant>
        <vt:lpwstr/>
      </vt:variant>
      <vt:variant>
        <vt:i4>5046288</vt:i4>
      </vt:variant>
      <vt:variant>
        <vt:i4>3</vt:i4>
      </vt:variant>
      <vt:variant>
        <vt:i4>0</vt:i4>
      </vt:variant>
      <vt:variant>
        <vt:i4>5</vt:i4>
      </vt:variant>
      <vt:variant>
        <vt:lpwstr>https://meric.mo.gov/</vt:lpwstr>
      </vt:variant>
      <vt:variant>
        <vt:lpwstr/>
      </vt:variant>
      <vt:variant>
        <vt:i4>92</vt:i4>
      </vt:variant>
      <vt:variant>
        <vt:i4>0</vt:i4>
      </vt:variant>
      <vt:variant>
        <vt:i4>0</vt:i4>
      </vt:variant>
      <vt:variant>
        <vt:i4>5</vt:i4>
      </vt:variant>
      <vt:variant>
        <vt:lpwstr>https://www.bls.gov/oes/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Lordina OSEI</cp:lastModifiedBy>
  <cp:revision>2</cp:revision>
  <dcterms:created xsi:type="dcterms:W3CDTF">2024-11-03T18:47:00Z</dcterms:created>
  <dcterms:modified xsi:type="dcterms:W3CDTF">2024-11-03T18:47:00Z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0x010100E320C0B68B4F6241865A41388ED064B2</vt:lpwstr>
  </property>
</Properties>
</file>