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Introduction</w:t>
      </w:r>
    </w:p>
    <w:p>
      <w:pPr>
        <w:pStyle w:val="SRSNormal"/>
        <w:ind w:left="720"/>
      </w:pPr>
      <w:r>
        <w:t>1. Document Purpose</w:t>
      </w:r>
    </w:p>
    <w:p>
      <w:pPr>
        <w:pStyle w:val="SRSHeading2"/>
      </w:pPr>
      <w:r>
        <w:t>From Workshop 2.pdf</w:t>
      </w:r>
    </w:p>
    <w:p>
      <w:pPr>
        <w:pStyle w:val="SRSNormal"/>
        <w:ind w:left="720"/>
      </w:pPr>
      <w:r>
        <w:t>1. So they would have to have five different numbers right okay associate five different branches okay</w:t>
      </w:r>
    </w:p>
    <w:p>
      <w:pPr>
        <w:pStyle w:val="SRSHeading2"/>
      </w:pPr>
      <w:r>
        <w:t>Custom</w:t>
      </w:r>
    </w:p>
    <w:p>
      <w:pPr>
        <w:pStyle w:val="SRSNormal"/>
        <w:ind w:left="720"/>
      </w:pPr>
      <w:r>
        <w:t>1. open quesries</w:t>
      </w:r>
    </w:p>
    <w:p>
      <w:pPr>
        <w:pStyle w:val="SRSNormal"/>
        <w:ind w:left="720"/>
      </w:pPr>
      <w:r>
        <w:t>2. open quesries</w:t>
      </w:r>
    </w:p>
    <w:p>
      <w:pPr>
        <w:pStyle w:val="SRSHeading2"/>
      </w:pPr>
      <w:r>
        <w:t>Gemini</w:t>
      </w:r>
    </w:p>
    <w:p>
      <w:pPr>
        <w:pStyle w:val="SRSNormal"/>
        <w:ind w:left="720"/>
      </w:pPr>
      <w:r>
        <w:t>1. 3. Functional Requirements &gt; 3.4 Number Allocation and Management &gt; 3.4.1 Number Allocation Rules</w:t>
      </w:r>
    </w:p>
    <w:p>
      <w:r>
        <w:br w:type="page"/>
      </w:r>
    </w:p>
    <w:p>
      <w:pPr>
        <w:pStyle w:val="SRSHeading1"/>
      </w:pPr>
      <w:r>
        <w:t>Introduction</w:t>
      </w:r>
    </w:p>
    <w:p>
      <w:pPr>
        <w:pStyle w:val="SRSHeading2"/>
      </w:pPr>
      <w:r>
        <w:t>Document Purpose</w:t>
      </w:r>
    </w:p>
    <w:p>
      <w:pPr>
        <w:pStyle w:val="SRSNormal"/>
        <w:ind w:left="360"/>
      </w:pPr>
      <w:r>
        <w:t>Purpose: Purpose of the document itself.</w:t>
      </w:r>
    </w:p>
    <w:p>
      <w:pPr>
        <w:pStyle w:val="SRSNormal"/>
        <w:spacing w:after="240"/>
        <w:ind w:left="360"/>
      </w:pPr>
      <w:r>
        <w:t>Source: Standard Template</w:t>
      </w:r>
    </w:p>
    <w:p>
      <w:pPr>
        <w:pStyle w:val="SRSNormal"/>
        <w:spacing w:after="240"/>
        <w:ind w:left="360"/>
      </w:pPr>
      <w:r>
        <w:t># Document Purpose</w:t>
        <w:br/>
        <w:br/>
        <w:t>The purpose of this Software Requirements Specification (SRS) document is to delineate the technical and functional requirements for the AI-Driven School Inspection Readiness platform, as discussed in the initial workshop held on June 2nd between Riza Kaya and the MSBC Group. This document aims to ensure a comprehensive understanding of the system's design, deployment models, stakeholder roles, data management, and output expectations. It serves as a foundational guide for developers, testers, and stakeholders, aligning all parties on the objectives and functionalities of the system.</w:t>
        <w:br/>
        <w:br/>
        <w:t>During the workshop, the primary focus was on the critical requirements for Use Case 1: AI-Driven School Inspection Readiness. The meeting emphasized the need for an offline deployment model using a Linux-based system, which would cater to the specific needs of school leadership and administrators. This decision was driven by the necessity to provide a robust, hardware-independent platform that supports tiered specifications for user concurrency and efficient data processing.</w:t>
        <w:br/>
        <w:br/>
        <w:t>The system is designed to integrate with existing data sources such as KHDA/ADEC framework documents, past inspection reports, and MIS/LMS systems for student data. These integrations are crucial for generating accurate and insightful PDF reports and interactive chatbots that align with KHDA formatting. The discussions highlighted the importance of maintaining a consistent data flow and ensuring seamless access to essential documents, which will initially be uploaded to local folders with potential future integrations with SharePoint, OneDrive, or APIs.</w:t>
        <w:br/>
        <w:br/>
        <w:t>Stakeholder access was another pivotal topic, where it was decided that all users, primarily school leadership and admin staff, will have uniform data access with personalized profiles and chat histories. This approach ensures a streamlined user experience while providing necessary data privacy and access controls through an admin dashboard with role-based access, file control, and user tracking capabilities.</w:t>
        <w:br/>
        <w:br/>
        <w:t>Hardware scalability and performance were also addressed, with a focus on customizable storage and GPU power based on usage and concurrency needs. This consideration is vital for supporting the platform's scalability and responsiveness, ensuring that performance metrics align with user expectations and licensing tiers.</w:t>
        <w:br/>
        <w:br/>
        <w:t>Overall, the document will serve as a comprehensive guide for the development team, outlining the technical specifications, deployment strategies, and user access protocols. It will also address data management concerns, such as caching strategies and vector-based search support, ensuring that the system meets the outlined objectives and supports the unique requirements of each participating school. The detailed insights from this workshop lay the groundwork for subsequent phases, ensuring a structured and strategic approach to the platform's development and deployment.</w:t>
      </w:r>
    </w:p>
    <w:p/>
    <w:p>
      <w:pPr>
        <w:pStyle w:val="SRSHeading1"/>
      </w:pPr>
      <w:r>
        <w:t>From Workshop 2.pdf</w:t>
      </w:r>
    </w:p>
    <w:p>
      <w:pPr>
        <w:pStyle w:val="SRSHeading2"/>
      </w:pPr>
      <w:r>
        <w:t>So they would have to have five different numbers right okay associate five different branches okay</w:t>
      </w:r>
    </w:p>
    <w:p>
      <w:pPr>
        <w:pStyle w:val="SRSNormal"/>
        <w:ind w:left="360"/>
      </w:pPr>
      <w:r>
        <w:t>Purpose: Describe the so they would have to have five different numbers right okay associate five different branches okay aspects of the system</w:t>
      </w:r>
    </w:p>
    <w:p>
      <w:pPr>
        <w:pStyle w:val="SRSNormal"/>
        <w:spacing w:after="240"/>
        <w:ind w:left="360"/>
      </w:pPr>
      <w:r>
        <w:t>Source: Extracted from Documents</w:t>
      </w:r>
    </w:p>
    <w:p>
      <w:pPr>
        <w:pStyle w:val="SRSNormal"/>
        <w:spacing w:after="240"/>
        <w:ind w:left="360"/>
      </w:pPr>
      <w:r>
        <w:t>**Section Overview: Integration of Multiple Branch Numbers**</w:t>
        <w:br/>
        <w:br/>
        <w:t>This section of the Software Requirements Specification (SRS) document outlines the system requirements and technical considerations for handling and associating multiple branch numbers within the AI-Driven School Inspection Readiness platform. The need to manage different branch numbers is critical for enabling unique identification and data segmentation across various branches of a school. This functionality is essential for providing tailored insights and recommendations based on specific branch data, ensuring that the AI-driven analysis is both relevant and actionable.</w:t>
        <w:br/>
        <w:br/>
        <w:t>**Branch Number Association Requirements**</w:t>
        <w:br/>
        <w:br/>
        <w:t>During the workshop discussions, it was emphasized that each branch of a school must be assigned a unique identifier in the form of a distinct number. This requirement stems from the need to differentiate between data inputs and outputs related to each branch, thereby allowing the system to process and generate branch-specific insights and reports. The unique branch numbers will facilitate accurate data mapping and retrieval, ensuring that each branch receives personalized AI-driven recommendations based on its unique operational data.</w:t>
        <w:br/>
        <w:br/>
        <w:t>**Implementation of Branch Numbers in Deployment Models**</w:t>
        <w:br/>
        <w:br/>
        <w:t>The system must support the integration of these branch numbers within both offline and potential future online deployment models. As discussed, the primary deployment model is an offline device utilizing a Linux-based system. The integration of branch numbers into this model involves ensuring that the local databases can handle and segregate data efficiently according to these identifiers. This segregation is crucial for maintaining system scalability and performance, as each branch's data will be processed independently, allowing for optimized resource allocation and processing times.</w:t>
        <w:br/>
        <w:br/>
        <w:t>**Technical Specifications for Data Inputs and Outputs**</w:t>
        <w:br/>
        <w:br/>
        <w:t>The meeting highlighted the importance of aligning data inputs and outputs with the unique branch numbers. Data sources such as KHDA/ADEC framework documents, past inspection reports, and MIS/LMS integrations for student data must be tagged with these branch numbers. The system outputs, including PDF reports and interactive chat responses, should be generated with clear reference to the specific branch number, ensuring that all insights are contextualized within the correct branch framework. This linkage is vital for ensuring the accuracy and relevance of the generated recommendations.</w:t>
        <w:br/>
        <w:br/>
        <w:t>**Constraints and Considerations**</w:t>
        <w:br/>
        <w:br/>
        <w:t>There are several constraints and considerations associated with the implementation of branch numbers. One key consideration is the need for seamless integration with existing school systems and databases, which may already have their own numbering or identification systems. The system must be adaptable to accommodate these existing structures while still enforcing the unique branch number requirement for the AI inspection readiness platform. Additionally, data security and privacy must be maintained, ensuring that branch-specific data is protected and only accessible to authorized users.</w:t>
        <w:br/>
        <w:br/>
        <w:t>**Decisions and Future Directions**</w:t>
        <w:br/>
        <w:br/>
        <w:t>The meeting concluded with a decision to prioritize the development of this branch number association feature in the initial phase of the project. This decision underscores the importance of ensuring that the system is capable of handling the complexity and variability of data across different branches from the outset. Future workshops will further refine the technical specifications and explore potential enhancements, such as the integration of advanced data analytics capabilities to provide even deeper insights at the branch level. As the project progresses, continuous feedback loops with stakeholders will be established to ensure that the system meets the evolving needs of schools and their various branches.</w:t>
      </w:r>
    </w:p>
    <w:p/>
    <w:p>
      <w:pPr>
        <w:pStyle w:val="SRSHeading1"/>
      </w:pPr>
      <w:r>
        <w:t>Custom</w:t>
      </w:r>
    </w:p>
    <w:p>
      <w:pPr>
        <w:pStyle w:val="SRSHeading2"/>
      </w:pPr>
      <w:r>
        <w:t>open quesries</w:t>
      </w:r>
    </w:p>
    <w:p>
      <w:pPr>
        <w:pStyle w:val="SRSNormal"/>
        <w:ind w:left="360"/>
      </w:pPr>
      <w:r>
        <w:t>Purpose: vfdcxz</w:t>
      </w:r>
    </w:p>
    <w:p>
      <w:pPr>
        <w:pStyle w:val="SRSNormal"/>
        <w:spacing w:after="240"/>
        <w:ind w:left="360"/>
      </w:pPr>
      <w:r>
        <w:t>Source: Custom Section</w:t>
      </w:r>
    </w:p>
    <w:p>
      <w:pPr>
        <w:pStyle w:val="SRSNormal"/>
        <w:spacing w:after="240"/>
        <w:ind w:left="360"/>
      </w:pPr>
      <w:r>
        <w:t>**Section: Open Queries**</w:t>
        <w:br/>
        <w:br/>
        <w:t>This section addresses the open queries and discussions that emerged during the workshops held between Riza x MSBC Group and Playbook x MSBC. The focus centers around the AI-Driven School Inspection Readiness platform and the Canary AI-powered call analytics platform. The meetings delved into a variety of topics including technical specifications, design preferences, deployment models, and data management strategies. Key insights from these discussions provide a comprehensive understanding of the project requirements and highlight areas needing further exploration or decision-making.</w:t>
        <w:br/>
        <w:br/>
        <w:t>During the Workshop focused on the AI-Driven School Inspection Readiness, the team discussed the deployment model, emphasizing a primary focus on an offline device with a Linux-based system. This decision underscores the need for robust hardware specifications, particularly to support user concurrency and ensure system efficiency. The discussion also touched on hardware modularity, with plans to explore a web-based model in the future. This approach aims to address scalability concerns and enhance the system’s adaptability to varying school sizes and user demands.</w:t>
        <w:br/>
        <w:br/>
        <w:t>In terms of data management for the AI platform, the meetings highlighted the importance of integrating multiple data sources, such as KHDA/ADEC framework documents, past inspection reports, and MIS/LMS integrations. These integrations are crucial for delivering comprehensive and accurate inspection readiness assessments. Additionally, the potential for SharePoint, OneDrive, or API integrations was noted, though these remain on the project roadmap for future exploration. The meetings also addressed system outputs, including the generation of PDF reports and interactive chatbot features, which are aligned with KHDA formatting and user expectations.</w:t>
        <w:br/>
        <w:br/>
        <w:t>The workshops for the Canary platform concentrated on refining the user interface and user experience, specifically focusing on the admin and client dashboards. Discussions emphasized the need for user-friendly designs that clearly present data and insights. The admin dashboard is set to include features such as "Add Restaurant" buttons, overall analytics, and filtering options, with a focus on simplifying the onboarding process and managing campaign functionalities. A critical requirement is the development of a robust number allocation system, which allows for dynamic management of multiple campaigns and the reuse of numbers to optimize resource allocation.</w:t>
        <w:br/>
        <w:br/>
        <w:t>Branding and design elements were also a significant topic of discussion, with a consensus to move towards a simplified, modern aesthetic. This includes refining the geometric shape concept for the logo to more closely resemble a bird, aligning with the brand identity of the Canary platform. Color schemes and typography are being explored to ensure a contemporary and clean design that resonates with the target audience. The meetings underlined the importance of maintaining a cohesive and engaging brand image across all user touchpoints.</w:t>
        <w:br/>
        <w:br/>
        <w:t>Finally, data management and privacy considerations were addressed, particularly concerning data retention policies and compliance with GDPR and other relevant regulations. The need for a secure and efficient data management strategy is critical, with a tentative data retention policy of 2-3 months post-cancellation being proposed. These discussions highlight the project's commitment to adhering to regulatory standards and ensuring data security, which are fundamental to the platform's sustainability and user trust.</w:t>
      </w:r>
    </w:p>
    <w:p>
      <w:pPr>
        <w:pStyle w:val="SRSHeading2"/>
      </w:pPr>
      <w:r>
        <w:t>open quesries</w:t>
      </w:r>
    </w:p>
    <w:p>
      <w:pPr>
        <w:pStyle w:val="SRSNormal"/>
        <w:ind w:left="360"/>
      </w:pPr>
      <w:r>
        <w:t>Purpose: vfdcxz</w:t>
      </w:r>
    </w:p>
    <w:p>
      <w:pPr>
        <w:pStyle w:val="SRSNormal"/>
        <w:spacing w:after="240"/>
        <w:ind w:left="360"/>
      </w:pPr>
      <w:r>
        <w:t>Source: Custom Section</w:t>
      </w:r>
    </w:p>
    <w:p>
      <w:pPr>
        <w:pStyle w:val="SRSNormal"/>
        <w:spacing w:after="240"/>
        <w:ind w:left="360"/>
      </w:pPr>
      <w:r>
        <w:t>## Open Queries Section</w:t>
        <w:br/>
        <w:br/>
        <w:t>### Overview</w:t>
        <w:br/>
        <w:t>This section captures unresolved queries and areas requiring further clarification as discussed during the workshops detailed in the meeting transcripts. The aim is to identify these open questions to ensure comprehensive understanding and alignment across all stakeholders involved in the development of the AI-driven school inspection readiness platform and the Canary platform. This section is crucial for addressing gaps and ensuring that all technical and functional requirements are fully met.</w:t>
        <w:br/>
        <w:br/>
        <w:t>### Specific Technical and Functional Requirements</w:t>
        <w:br/>
        <w:t>During Workshop 1, a primary concern raised was the hardware modularity needed for varying user concurrency levels, which ranged from 1–5 to 5–20 users. The requirement to define tiered hardware specifications is still open, needing further detail regarding the exact configurations and performance metrics necessary to support these user ranges effectively. Additionally, the potential for integrating with platforms like SharePoint and OneDrive was recognized but remains pending, requiring a deeper dive into the API capabilities and integration feasibility.</w:t>
        <w:br/>
        <w:br/>
        <w:t>### Deployment and System Architecture Decisions</w:t>
        <w:br/>
        <w:t>The deployment model for the AI-driven school inspection readiness platform was a major discussion point. An offline device operating on a Linux-based system was identified as the primary deployment model, with a later exploration of a multi-tenancy web-based model. Clear decisions on how this transition to a web-based model would occur, including the technological stack and infrastructure requirements, are yet to be determined and documented. This raises questions about the compatibility of current systems and the future scalability of the platform.</w:t>
        <w:br/>
        <w:br/>
        <w:t>### Data Management and Privacy Considerations</w:t>
        <w:br/>
        <w:t>A critical area requiring further exploration from Workshop 4 involves data management and privacy, specifically around data retention policies and GDPR compliance. The exact duration for data retention post-cancellation (tentatively set at 2-3 months) needs to be finalized to ensure compliance with data protection regulations. Additionally, the prohibition of raw data exports is a decision that necessitates a comprehensive strategy to maintain data security without hindering the platform's analytical capabilities.</w:t>
        <w:br/>
        <w:br/>
        <w:t>### Branding and Design Directions</w:t>
        <w:br/>
        <w:t>The ongoing evolution of the branding and design elements for the Canary platform was a significant agenda item in Workshops 3 and 4. While there is a consensus towards a simplified, modern aesthetic, the exact color schemes and typography choices remain open. The exploration of color schemes such as pink, coral, and purple, along with the selection of contemporary fonts, needs to be finalized. Moreover, the potential introduction of an animated bird character in marketing materials is under consideration, requiring further creative input and stakeholder approval.</w:t>
        <w:br/>
        <w:br/>
        <w:t>### Constraints and Technical Challenges</w:t>
        <w:br/>
        <w:t>Several technical challenges were highlighted concerning the integration of GCC phone numbers, as discussed in Workshops 4 and 5. The difficulty in sourcing providers who can supply these numbers is a constraint that impacts the Canary platform's call management capabilities. The exploration of alternative solutions, such as the use of 800 numbers, is ongoing, with further research required to determine cost implications and operational feasibility.</w:t>
        <w:br/>
        <w:br/>
        <w:t>### Next Steps and Action Items</w:t>
        <w:br/>
        <w:t>The next steps involve addressing the open queries by coordinating with technical teams to resolve outstanding hardware specifications, deployment strategies, and integration capabilities. Additionally, refining the branding elements and resolving data management policies are priorities. These actions are critical to progressing the project toward its next phase and ensuring all stakeholder requirements are addressed comprehensively. The completion of these tasks will facilitate a smoother development process and enhance the overall effectiveness of the platforms being developed.</w:t>
      </w:r>
    </w:p>
    <w:p/>
    <w:p>
      <w:pPr>
        <w:pStyle w:val="SRSHeading1"/>
      </w:pPr>
      <w:r>
        <w:t>Gemini</w:t>
      </w:r>
    </w:p>
    <w:p>
      <w:pPr>
        <w:pStyle w:val="SRSHeading2"/>
      </w:pPr>
      <w:r>
        <w:t>3. Functional Requirements &gt; 3.4 Number Allocation and Management &gt; 3.4.1 Number Allocation Rules</w:t>
      </w:r>
    </w:p>
    <w:p>
      <w:pPr>
        <w:pStyle w:val="SRSNormal"/>
        <w:ind w:left="360"/>
      </w:pPr>
      <w:r>
        <w:t>Purpose: Defines how Canary numbers are allocated based on subscription plans.</w:t>
      </w:r>
    </w:p>
    <w:p>
      <w:pPr>
        <w:pStyle w:val="SRSNormal"/>
        <w:spacing w:after="240"/>
        <w:ind w:left="360"/>
      </w:pPr>
      <w:r>
        <w:t>Source: Gemini API</w:t>
      </w:r>
    </w:p>
    <w:p>
      <w:pPr>
        <w:pStyle w:val="SRSNormal"/>
        <w:spacing w:after="240"/>
        <w:ind w:left="360"/>
      </w:pPr>
      <w:r>
        <w:t>### 3. Functional Requirements &gt; 3.4 Number Allocation and Management &gt; 3.4.1 Number Allocation Rules</w:t>
        <w:br/>
        <w:br/>
        <w:t>This section outlines the specific rules and criteria for allocating Canary numbers based on subscription plans as discussed in the workshops conducted between Playbook and MSBC. The primary objective is to ensure that the allocation of numbers is efficient, scalable, and aligned with the overall business objectives of the Canary platform.</w:t>
        <w:br/>
        <w:br/>
        <w:t>The allocation of Canary numbers is directly linked to the subscription plans chosen by the clients. During the workshops, it was established that each subscription plan would have a predefined number of Canary numbers assigned. This ensures that the platform can manage and distribute numbers effectively, avoiding any potential conflicts or shortages. Clients have the flexibility to purchase additional numbers or packs as needed, allowing for scalability in campaigns and operations.</w:t>
        <w:br/>
        <w:br/>
        <w:t>In terms of technical implementation, the meetings highlighted the necessity of a system that supports the dynamic allocation and management of numbers. This includes the ability to reuse numbers for new campaigns once previous ones have concluded. The number allocation system is designed to be flexible to accommodate the changing needs of clients while maintaining operational efficiency. The integration of these functionalities was emphasized as a critical component of the backend system to support seamless operations.</w:t>
        <w:br/>
        <w:br/>
        <w:t>A significant decision made during the workshops was the incorporation of a pricing model that includes both analytics fees and usage-based charges. This pricing strategy is designed to incentivize efficient use of allocated numbers and ensure that billing reflects the actual usage patterns of the clients. The discussions underscored the importance of transparency in pricing to build trust with the clients and facilitate a smooth billing process.</w:t>
        <w:br/>
        <w:br/>
        <w:t>Additionally, the workshops addressed the need for a robust system to handle different types of phone numbers, including non-GCC and 800 numbers. This consideration is vital for ensuring that the platform can cater to various regional requirements and client preferences. The ability to manage these different types of numbers is crucial for expanding the platform's reach and enhancing its adaptability to different market needs.</w:t>
        <w:br/>
        <w:br/>
        <w:t>Constraints and considerations discussed include ensuring compliance with local regulations concerning phone number usage and allocation. The platform must adhere to these regulations to avoid any legal complications. Furthermore, the workshops highlighted the need for a user-friendly interface that allows clients to manage their allocated numbers easily, providing them with real-time insights into their usage and allocation status.</w:t>
        <w:br/>
        <w:br/>
        <w:t>In conclusion, the number allocation rules are designed to offer flexibility, scalability, and compliance, ensuring that the Canary platform can meet the diverse needs of its clients while maintaining operational integrity. The strategic decisions made during the workshops reflect a comprehensive approach to number management, aligning with the platform's long-term business goals.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