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RSTitle"/>
      </w:pPr>
      <w:r>
        <w:t>Software Requirements Specification</w:t>
      </w:r>
    </w:p>
    <w:p>
      <w:pPr>
        <w:pStyle w:val="SRSNormal"/>
        <w:jc w:val="center"/>
      </w:pPr>
      <w:r>
        <w:t>Generated by SRS Dynamic Generator</w:t>
      </w:r>
    </w:p>
    <w:p/>
    <w:p/>
    <w:p>
      <w:pPr>
        <w:pStyle w:val="SRSHeading2"/>
        <w:jc w:val="left"/>
      </w:pPr>
      <w:r>
        <w:t>Document Information:</w:t>
      </w:r>
    </w:p>
    <w:p>
      <w:pPr>
        <w:pStyle w:val="SRSNormal"/>
      </w:pPr>
      <w:r>
        <w:t>Document Type: Software Requirements Specification</w:t>
      </w:r>
    </w:p>
    <w:p>
      <w:pPr>
        <w:pStyle w:val="SRSNormal"/>
      </w:pPr>
      <w:r>
        <w:t>Generated Date: Auto-generated</w:t>
      </w:r>
    </w:p>
    <w:p>
      <w:pPr>
        <w:pStyle w:val="SRSNormal"/>
      </w:pPr>
      <w:r>
        <w:t>Tool: SRS Dynamic Generator</w:t>
      </w:r>
    </w:p>
    <w:p>
      <w:pPr>
        <w:pStyle w:val="SRSNormal"/>
      </w:pPr>
      <w:r>
        <w:t>Version: 1.0</w:t>
      </w:r>
    </w:p>
    <w:p>
      <w:r>
        <w:br w:type="page"/>
      </w:r>
    </w:p>
    <w:p>
      <w:pPr>
        <w:pStyle w:val="SRSHeading1"/>
        <w:jc w:val="center"/>
      </w:pPr>
      <w:r>
        <w:t>Table of Contents</w:t>
      </w:r>
    </w:p>
    <w:p>
      <w:pPr>
        <w:pStyle w:val="SRSHeading2"/>
      </w:pPr>
      <w:r>
        <w:t>AI</w:t>
      </w:r>
    </w:p>
    <w:p>
      <w:pPr>
        <w:pStyle w:val="SRSNormal"/>
        <w:ind w:left="720"/>
      </w:pPr>
      <w:r>
        <w:t>1. AI Subsystems</w:t>
      </w:r>
    </w:p>
    <w:p>
      <w:pPr>
        <w:pStyle w:val="SRSNormal"/>
        <w:ind w:left="720"/>
      </w:pPr>
      <w:r>
        <w:t>2. Overview</w:t>
      </w:r>
    </w:p>
    <w:p>
      <w:pPr>
        <w:pStyle w:val="SRSNormal"/>
        <w:ind w:left="720"/>
      </w:pPr>
      <w:r>
        <w:t>3. Database</w:t>
      </w:r>
    </w:p>
    <w:p>
      <w:pPr>
        <w:pStyle w:val="SRSHeading2"/>
      </w:pPr>
      <w:r>
        <w:t>Custom Sections</w:t>
      </w:r>
    </w:p>
    <w:p>
      <w:pPr>
        <w:pStyle w:val="SRSNormal"/>
        <w:ind w:left="720"/>
      </w:pPr>
      <w:r>
        <w:t>1. 3rd party involvement</w:t>
      </w:r>
    </w:p>
    <w:p>
      <w:r>
        <w:br w:type="page"/>
      </w:r>
    </w:p>
    <w:p>
      <w:pPr>
        <w:pStyle w:val="SRSHeading1"/>
      </w:pPr>
      <w:r>
        <w:t>AI</w:t>
      </w:r>
    </w:p>
    <w:p>
      <w:pPr>
        <w:pStyle w:val="SRSHeading2"/>
      </w:pPr>
      <w:r>
        <w:t>AI Subsystems</w:t>
      </w:r>
    </w:p>
    <w:p>
      <w:pPr>
        <w:pStyle w:val="SRSNormal"/>
        <w:spacing w:after="240"/>
        <w:ind w:left="360"/>
      </w:pPr>
      <w:r>
        <w:t>Source: AI Generated</w:t>
      </w:r>
    </w:p>
    <w:p>
      <w:pPr>
        <w:pStyle w:val="SRSNormal"/>
        <w:spacing w:after="240"/>
        <w:ind w:left="360"/>
      </w:pPr>
      <w:r>
        <w:t>### AI Subsystems Overview</w:t>
        <w:br/>
        <w:br/>
        <w:t>This section of the Software Requirements Specification (SRS) document focuses on the AI subsystems as discussed in the recent series of workshops between Playbook and MSBC. The AI subsystems are designed to support the Canary platform, particularly in areas of call analytics, user interaction, and data processing. These discussions have been pivotal in defining the architecture and functionality of the AI components that will drive the analytical and operational capabilities of the Canary platform.</w:t>
        <w:br/>
        <w:br/>
        <w:t>### AI-Driven Analytics and Insights</w:t>
        <w:br/>
        <w:br/>
        <w:t>A core component of the AI subsystems is the ability to process and analyze call data to generate actionable insights. During the workshops, it was detailed that the AI must be capable of identifying key metrics from calls, such as sentiment, keywords, and user demographics, including gender distribution. These metrics will feed into a broader analytics dashboard that provides users with high-level insights and detailed drill-downs into their data, enabling them to make informed business decisions. The AI's ability to tag and categorize conversations based on these metrics is essential for building detailed personas and understanding customer interactions.</w:t>
        <w:br/>
        <w:br/>
        <w:t>### Campaign Management and Number Allocation</w:t>
        <w:br/>
        <w:br/>
        <w:t>The AI subsystems are also integral to the management of campaign-specific call data. The discussions highlighted the need for the AI to allocate and manage unique Canary numbers used in various marketing campaigns. This functionality is crucial for tracking the performance of different campaigns and understanding their impact on call volume and customer engagement. The AI will facilitate the seamless creation, management, and analysis of these campaigns, offering users the ability to filter insights by specific campaigns and compare them against general call data.</w:t>
        <w:br/>
        <w:br/>
        <w:t>### Data Processing and Tagging</w:t>
        <w:br/>
        <w:br/>
        <w:t>To ensure data accuracy and relevancy, the AI subsystems must include robust data processing capabilities. This includes the ability to efficiently process call transcripts, tag calls with appropriate labels such as 'reservation' or 'cancellation,' and ensure that the analytics generated are reflective of the true nature of interactions. The workshops underscored the importance of having a dynamic tagging system that can adapt to the context of each call, thus providing a more nuanced understanding of customer interactions and behaviors.</w:t>
        <w:br/>
        <w:br/>
        <w:t>### User Engagement and Customization</w:t>
        <w:br/>
        <w:br/>
        <w:t>The AI subsystems are also tasked with enhancing user engagement through personalized content delivery and customization options. The system will support features like dynamic dashboards that adjust based on user preferences and behavior. Additionally, the AI will generate personalized insights and recommendations, which are crucial for user retention and satisfaction. This customization extends to the ability of users to set preferences for how often they receive insights and updates, tailoring the experience to meet their specific needs.</w:t>
        <w:br/>
        <w:br/>
        <w:t>### Integration and Technical Constraints</w:t>
        <w:br/>
        <w:br/>
        <w:t>Integration with existing systems and compliance with technical constraints were key points of discussion. The AI subsystems must seamlessly integrate with the chosen call providers, like Twilio, and support various data input and output formats. Moreover, the system must adhere to data privacy regulations and ensure GDPR compliance, as the handling of sensitive customer data is a critical concern. The workshops emphasized the need for an architecture that supports scalability and future enhancements, ensuring that the AI subsystems can evolve with the platform's growth.</w:t>
        <w:br/>
        <w:br/>
        <w:t>### Conclusion</w:t>
        <w:br/>
        <w:br/>
        <w:t>In conclusion, the AI subsystems for the Canary platform have been meticulously planned to enhance the platform's analytical capabilities, streamline campaign management, and offer personalized user experiences. These systems are designed to provide deep insights into customer interactions while adhering to privacy and technical standards. The discussions from the workshops have laid a solid foundation for developing these AI components, ensuring they align with the broader objectives of the Canary platform.</w:t>
      </w:r>
    </w:p>
    <w:p>
      <w:pPr>
        <w:pStyle w:val="SRSHeading2"/>
      </w:pPr>
      <w:r>
        <w:t>Overview</w:t>
      </w:r>
    </w:p>
    <w:p>
      <w:pPr>
        <w:pStyle w:val="SRSNormal"/>
        <w:spacing w:after="240"/>
        <w:ind w:left="360"/>
      </w:pPr>
      <w:r>
        <w:t>Source: AI Generated</w:t>
      </w:r>
    </w:p>
    <w:p>
      <w:pPr>
        <w:pStyle w:val="SRSNormal"/>
        <w:spacing w:after="240"/>
        <w:ind w:left="360"/>
      </w:pPr>
      <w:r>
        <w:t>## Overview</w:t>
        <w:br/>
        <w:br/>
        <w:t>This section provides a comprehensive overview of the discussions and decisions made regarding the development of the Canary platform during the workshops held between Playbook and MSBC. The primary focus of these workshops was to clarify the design and functionality of the admin and client dashboards, refine campaign management processes, and enhance the overall user experience. Key aspects such as the integration of call providers, user authentication mechanisms, and pricing models were also discussed to align the platform’s capabilities with business objectives.</w:t>
        <w:br/>
        <w:br/>
        <w:t>The admin dashboard is designed to offer a seamless user experience with features that include a prominent 'Add Restaurant' button, which facilitates the quick onboarding of new clients. The dashboard will display overall analytics and allow filtering by time period, cuisine type, and location, enabling the Canary team to access relevant insights efficiently. Additionally, the admin view will include analytics feedback, showing thumbs up or down from clients, and a detailed restaurant list view with the ability to toggle beta features.</w:t>
        <w:br/>
        <w:br/>
        <w:t>Client onboarding is streamlined with a process that involves setting a password and entering basic restaurant information. The client dashboard focuses on user-friendly design, presenting clear analytics and insights, and tracking campaign performance. A subscription expiration countdown feature is included to encourage timely renewals. The dashboard will also offer options for data filtering, allowing clients to view insights specifically related to their campaigns or general operations.</w:t>
        <w:br/>
        <w:br/>
        <w:t>Campaign management functionality was a significant topic of discussion, with the need to improve UI/UX for managing potentially over 100 campaigns per client. Suggestions included implementing a list view, sorting options, a watchlist or favorites feature, and dynamic ordering based on campaign activity. This would enable clients to efficiently manage and monitor their campaigns within the platform. Additionally, the separation of campaign analytics from general number insights was emphasized to provide clearer data representation.</w:t>
        <w:br/>
        <w:br/>
        <w:t>The allocation and pricing of Canary numbers were also deliberated. Numbers will be allocated based on the client’s subscription plan, with the option to purchase additional numbers or packs as needed. Numbers can be reused for new campaigns once previous ones conclude, and the pricing model will incorporate both an analytics fee and usage-based charges. This approach aligns with the aim to maintain transparency and flexibility in service provision.</w:t>
        <w:br/>
        <w:br/>
        <w:t>Lastly, user education and support were highlighted as essential components of the platform. The suggestion to create short video tutorials for each feature aims to enhance user understanding and engagement. Chat support will be available on every screen for immediate assistance, and a referral program is proposed to incentivize users to recommend Canary to others. These measures are intended to foster a supportive and user-centric environment for all platform users.</w:t>
      </w:r>
    </w:p>
    <w:p>
      <w:pPr>
        <w:pStyle w:val="SRSHeading2"/>
      </w:pPr>
      <w:r>
        <w:t>Database</w:t>
      </w:r>
    </w:p>
    <w:p>
      <w:pPr>
        <w:pStyle w:val="SRSNormal"/>
        <w:spacing w:after="240"/>
        <w:ind w:left="360"/>
      </w:pPr>
      <w:r>
        <w:t>Source: AI Generated</w:t>
      </w:r>
    </w:p>
    <w:p>
      <w:pPr>
        <w:pStyle w:val="SRSNormal"/>
        <w:spacing w:after="240"/>
        <w:ind w:left="360"/>
      </w:pPr>
      <w:r>
        <w:t>### **Database**</w:t>
        <w:br/>
        <w:br/>
        <w:t>#### **Section Purpose:**</w:t>
        <w:br/>
        <w:t>This section outlines the database management system used for the AI-driven school inspection readiness platform discussed in the workshop sessions between Riza and the MSBC Group. The database choice is critical for ensuring data storage, retrieval, and integration capabilities with other systems like MIS/LMS.</w:t>
        <w:br/>
        <w:br/>
        <w:t>#### **Database Technology:**</w:t>
        <w:br/>
        <w:t>During the workshop discussions, the choice of database management system was briefly mentioned in the context of technical design without a definitive decision. The options considered include MySQL, PostgreSQL, and Amazon RDS, among others. The final database technology will be selected based on project needs, considering factors such as scalability, integration capabilities, and cost-efficiency.</w:t>
        <w:br/>
        <w:br/>
        <w:t>#### **Potential Database Options:**</w:t>
        <w:br/>
        <w:br/>
        <w:t>1. **MySQL:**</w:t>
        <w:br/>
        <w:t xml:space="preserve">   - **Pros:** Widely used, supports a range of applications, robust community support, and easily integrates with various platforms.</w:t>
        <w:br/>
        <w:t xml:space="preserve">   - **Cons:** May not handle extremely large-scale transactions as efficiently as some other databases.</w:t>
        <w:br/>
        <w:br/>
        <w:t>2. **PostgreSQL:**</w:t>
        <w:br/>
        <w:t xml:space="preserve">   - **Pros:** Known for its advanced features, such as strong ACID compliance, extensibility, and support for complex queries and large datasets.</w:t>
        <w:br/>
        <w:t xml:space="preserve">   - **Cons:** Can be more complex to manage and configure compared to MySQL.</w:t>
        <w:br/>
        <w:br/>
        <w:t>3. **Amazon RDS:**</w:t>
        <w:br/>
        <w:t xml:space="preserve">   - **Pros:** Managed service, supports multiple database engines including MySQL and PostgreSQL, easy scaling, automated backups, and integrated monitoring.</w:t>
        <w:br/>
        <w:t xml:space="preserve">   - **Cons:** Higher costs associated with AWS services, and potential vendor lock-in.</w:t>
        <w:br/>
        <w:br/>
        <w:t>#### **Integration Considerations:**</w:t>
        <w:br/>
        <w:t>The database will play a pivotal role in:</w:t>
        <w:br/>
        <w:t>- Storing and managing inspection data and reports.</w:t>
        <w:br/>
        <w:t>- Integrating with MIS/LMS for student data.</w:t>
        <w:br/>
        <w:t>- Supporting offline and online deployment models.</w:t>
        <w:br/>
        <w:t>- Handling concurrent user access efficiently.</w:t>
        <w:br/>
        <w:br/>
        <w:t>#### **Next Steps:**</w:t>
        <w:br/>
        <w:t>- Final selection of the database technology will be contingent upon a detailed assessment of the technical requirements and expected data loads.</w:t>
        <w:br/>
        <w:t>- Coordination with the technical team to ensure the chosen database aligns with the overall system architecture.</w:t>
        <w:br/>
        <w:t>- Consideration of future integration with cloud services for enhanced scalability and performance.</w:t>
        <w:br/>
        <w:br/>
        <w:t>#### **Conclusion:**</w:t>
        <w:br/>
        <w:t>The database decision is a critical component of the platform's technical architecture. It must support the AI-driven functionalities and provide a robust framework for data management and integration. The team will finalize the database choice in subsequent technical design sessions, ensuring it meets all functional and non-functional requirements.</w:t>
        <w:br/>
        <w:br/>
        <w:t xml:space="preserve">--- </w:t>
        <w:br/>
        <w:br/>
        <w:t>This section aims to provide a comprehensive overview of the considerations and options for the database system tailored to the project's needs, as discussed in the workshops.</w:t>
      </w:r>
    </w:p>
    <w:p/>
    <w:p>
      <w:pPr>
        <w:pStyle w:val="SRSHeading2"/>
      </w:pPr>
      <w:r>
        <w:t>3rd party involvement</w:t>
      </w:r>
    </w:p>
    <w:p>
      <w:pPr>
        <w:pStyle w:val="SRSNormal"/>
        <w:ind w:left="360"/>
      </w:pPr>
      <w:r>
        <w:t>Purpose: Any 3rd party is involved or not?</w:t>
      </w:r>
    </w:p>
    <w:p>
      <w:pPr>
        <w:pStyle w:val="SRSNormal"/>
        <w:spacing w:after="240"/>
        <w:ind w:left="360"/>
      </w:pPr>
      <w:r>
        <w:t>Source: Custom Section</w:t>
      </w:r>
    </w:p>
    <w:p>
      <w:pPr>
        <w:pStyle w:val="SRSNormal"/>
        <w:spacing w:after="240"/>
        <w:ind w:left="360"/>
      </w:pPr>
      <w:r>
        <w:t>**Section Heading: 3rd Party Involvement**</w:t>
        <w:br/>
        <w:br/>
        <w:t>This section outlines the extent to which third-party services are integrated into the Canary platform, based on discussions held in the workshops between Playbook and MSBC. The workshops primarily focused on identifying suitable call providers capable of fulfilling the project’s requirements for Canary's call analytics platform. A key decision point was the selection of a call provider that supports GCC numbers, essential for the platform's operation in the specified region.</w:t>
        <w:br/>
        <w:br/>
        <w:t>During the discussions, it was highlighted that several potential call provider candidates were contacted, but only a few responded with the capability to offer GCC numbers. Some providers, such as TelNix, were initially promising, offering all necessary features including analytics and billing integration. However, their responsiveness became an issue, which is a critical consideration when finalizing third-party involvement. The team also considered Twilio, a well-known provider, yet their response was pending at the time of discussion.</w:t>
        <w:br/>
        <w:br/>
        <w:t>Another significant aspect of third-party involvement is the integration with Stripe for billing management. Stripe will handle the automated billing processes, including the generation and management of subscription plans and payment links for Canary users. This integration allows for flexibility in pricing and subscription management, which are manually configured initially but planned for automation as the platform matures.</w:t>
        <w:br/>
        <w:br/>
        <w:t>In terms of technical specifications, the workshops discussed the necessity for a provider that can support not just call recording but also detailed call analytics. Integration with the chosen call provider must include the ability to handle dynamic number allocation and management for various campaigns, which is central to the platform’s value proposition. The capability to handle these requirements influences the choice of call provider, shaping the overall architecture of the platform.</w:t>
        <w:br/>
        <w:br/>
        <w:t>Constraints in third-party involvement were also discussed, particularly concerning the potential need for non-GCC numbers or 800 numbers to circumvent limitations in local number provisioning. The team considered these as viable alternatives should local number availability continue to pose a challenge. This consideration highlights the need for flexibility in the platform's design to accommodate various call routing scenarios.</w:t>
        <w:br/>
        <w:br/>
        <w:t>Overall, these discussions underscore the critical role third-party providers play in the Canary platform's ecosystem, influencing not only operational capabilities but also strategic decisions around pricing, customer management, and regional compliance. The integration with these providers must ensure seamless operation and support the platform’s scalability and reliability objectives.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jc w:val="center"/>
    </w:pPr>
    <w:rPr>
      <w:rFonts w:ascii="Arial" w:hAnsi="Arial"/>
      <w:b/>
      <w:sz w:val="48"/>
    </w:rPr>
  </w:style>
  <w:style w:type="paragraph" w:customStyle="1" w:styleId="SRSHeading1">
    <w:name w:val="SRS Heading 1"/>
    <w:pPr>
      <w:spacing w:before="240" w:after="120"/>
    </w:pPr>
    <w:rPr>
      <w:rFonts w:ascii="Arial" w:hAnsi="Arial"/>
      <w:b/>
      <w:sz w:val="32"/>
    </w:rPr>
  </w:style>
  <w:style w:type="paragraph" w:customStyle="1" w:styleId="SRSHeading2">
    <w:name w:val="SRS Heading 2"/>
    <w:pPr>
      <w:spacing w:before="200" w:after="120"/>
    </w:pPr>
    <w:rPr>
      <w:rFonts w:ascii="Arial" w:hAnsi="Arial"/>
      <w:b/>
      <w:sz w:val="28"/>
    </w:rPr>
  </w:style>
  <w:style w:type="paragraph" w:customStyle="1" w:styleId="SRSNormal">
    <w:name w:val="SRS Normal"/>
    <w:pPr>
      <w:spacing w:after="120"/>
    </w:pPr>
    <w:rPr>
      <w:rFonts w:ascii="Arial" w:hAnsi="Arial"/>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