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**Document Purpose**</w:t>
        <w:br/>
        <w:br/>
        <w:t>The Software Requirements Specification (SRS) document for the AI-driven educational platform developed in collaboration with MSBC Group and Kaya MIS Consulting serves multiple critical purposes. Primarily, it provides a comprehensive blueprint for the development and implementation of the platform, which is designed to enhance educational processes through modular, scalable AI tools. This document is intended to guide the project from conception through to deployment, ensuring that all stakeholders have a unified understanding of the project's goals, functionalities, and constraints.</w:t>
        <w:br/>
        <w:br/>
        <w:t>The primary objective of the SRS is to outline the functional and non-functional requirements of the platform, which includes supporting inspection readiness, lesson planning, and academic performance tracking through AI-enabled solutions. The document captures the detailed requirements derived from meetings and workshops, which emphasized the necessity for modular architecture, data centralization, and a phased rollout of features. By documenting these requirements, the SRS ensures that the development process aligns with the strategic objectives discussed, such as efficiency, decision support, and student growth.</w:t>
        <w:br/>
        <w:br/>
        <w:t>Moreover, the SRS delineates the roles of various user personas, including students, teachers, school leadership teams, and admissions officers. This delineation is crucial for implementing effective access controls and user interaction flows within the system. For instance, during the design walkthroughs for Use Case 3, discussions highlighted the importance of user engagement and personalization features, which are reflected in the SRS through customizable user interfaces and role-based access permissions.</w:t>
        <w:br/>
        <w:br/>
        <w:t>The document also specifies technical and hardware considerations critical to the platform's deployment. It addresses the system's ability to operate in offline environments with Linux-based infrastructure and discusses the potential for future cloud-based expansions. This was particularly emphasized in the meeting notes from June 13, which focused on infrastructure, content sharing, and data management. Such specifications ensure that the platform is adaptable to various school environments and can handle concurrent user interactions efficiently.</w:t>
        <w:br/>
        <w:br/>
        <w:t>Additionally, the SRS articulates the platform's data handling and integration capabilities. As discussed in the workshops, the system will integrate with existing MIS and LMS systems to centralize data management, facilitating seamless data flow and interaction analytics. This integration is vital for achieving the platform's goal of providing personalized insights and recommendations, as highlighted in the project vision and functional scopes covered in multiple meetings.</w:t>
        <w:br/>
        <w:br/>
        <w:t>Finally, the SRS serves as a living document that will evolve with the project, incorporating feedback and iterations from ongoing development and user testing. It includes defined action items and timelines that align with the outcomes of the meetings, ensuring that the project remains on track and responsive to the needs of its stakeholders. This strategic alignment is crucial for achieving the desired educational outcomes and realizing the full potential of the AI-driven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