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Heading2"/>
      </w:pPr>
      <w:r>
        <w:t>Custom Sections</w:t>
      </w:r>
    </w:p>
    <w:p>
      <w:pPr>
        <w:pStyle w:val="SRSNormal"/>
        <w:ind w:left="720"/>
      </w:pPr>
      <w:r>
        <w:t>1. Open Queries</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provide a comprehensive overview of the AI-driven educational platform being developed. It outlines the strategic objectives, key functionalities, system interactions, and user roles necessary for the implementation of efficient, secure, and adaptable AI tools tailored for educational institutions. This document serves as a reference point for aligning stakeholders on project expectations, design decisions, and system deliverables, ensuring clarity and cohesion throughout the development lifecycle.</w:t>
      </w:r>
    </w:p>
    <w:p/>
    <w:p>
      <w:pPr>
        <w:pStyle w:val="SRSHeading2"/>
      </w:pPr>
      <w:r>
        <w:t>Open Queries</w:t>
      </w:r>
    </w:p>
    <w:p>
      <w:pPr>
        <w:pStyle w:val="SRSNormal"/>
        <w:ind w:left="360"/>
      </w:pPr>
      <w:r>
        <w:t>Purpose: solve questions</w:t>
      </w:r>
    </w:p>
    <w:p>
      <w:pPr>
        <w:pStyle w:val="SRSNormal"/>
        <w:spacing w:after="240"/>
        <w:ind w:left="360"/>
      </w:pPr>
      <w:r>
        <w:t>Source: Custom Section</w:t>
      </w:r>
    </w:p>
    <w:p>
      <w:pPr>
        <w:pStyle w:val="SRSNormal"/>
        <w:spacing w:after="240"/>
        <w:ind w:left="360"/>
      </w:pPr>
      <w:r>
        <w:t>**Open Queries**</w:t>
        <w:br/>
        <w:br/>
        <w:t>In preparation for the next meeting scheduled for June 26, the team needs to address key open queries. These include clarifying the system's handling of concurrent user sessions and data processing intervals, as well as defining the requirements for student data uploads and interface design templates. Additionally, the team should resolve pending questions regarding the integration of AI-generated content with existing school management systems and the specification of learning disabilities to support. These queries will ensure the SRS document is comprehensive and aligned with project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