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Acronyms and Abbreviations</w:t>
      </w:r>
    </w:p>
    <w:p>
      <w:pPr>
        <w:pStyle w:val="SRSNormal"/>
        <w:ind w:left="720"/>
      </w:pPr>
      <w:r>
        <w:t>2. Acronyms and Abbreviations</w:t>
      </w:r>
    </w:p>
    <w:p>
      <w:pPr>
        <w:pStyle w:val="SRSHeading2"/>
      </w:pPr>
      <w:r>
        <w:t>Custom</w:t>
      </w:r>
    </w:p>
    <w:p>
      <w:pPr>
        <w:pStyle w:val="SRSNormal"/>
        <w:ind w:left="720"/>
      </w:pPr>
      <w:r>
        <w:t>1. User Persona</w:t>
      </w:r>
    </w:p>
    <w:p>
      <w:pPr>
        <w:pStyle w:val="SRSNormal"/>
        <w:ind w:left="720"/>
      </w:pPr>
      <w:r>
        <w:t>2. User Persona</w:t>
      </w:r>
    </w:p>
    <w:p>
      <w:pPr>
        <w:pStyle w:val="SRSHeading2"/>
      </w:pPr>
      <w:r>
        <w:t>Gemini</w:t>
      </w:r>
    </w:p>
    <w:p>
      <w:pPr>
        <w:pStyle w:val="SRSNormal"/>
        <w:ind w:left="720"/>
      </w:pPr>
      <w:r>
        <w:t>1. 1. Introduction</w:t>
      </w:r>
    </w:p>
    <w:p>
      <w:r>
        <w:br w:type="page"/>
      </w:r>
    </w:p>
    <w:p>
      <w:pPr>
        <w:pStyle w:val="SRSHeading1"/>
      </w:pPr>
      <w:r>
        <w:t>Introduction</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Standard Template</w:t>
      </w:r>
    </w:p>
    <w:p>
      <w:pPr>
        <w:pStyle w:val="SRSNormal"/>
        <w:spacing w:after="240"/>
        <w:ind w:left="360"/>
      </w:pPr>
      <w:r>
        <w:t>## Acronyms and Abbreviations</w:t>
        <w:br/>
        <w:br/>
        <w:t>This section provides a comprehensive list of acronyms and abbreviations used throughout the Software Requirements Specification (SRS) document for the AI-powered educational platform project, as discussed in the meetings led by MIS Consulting. Understanding these terms is crucial for the accurate interpretation of the document.</w:t>
        <w:br/>
        <w:br/>
        <w:t xml:space="preserve">1. **AI** - Artificial Intelligence  </w:t>
        <w:br/>
        <w:t xml:space="preserve">   Refers to the technology integrated into the platform to enhance educational functionalities such as content generation and predictive analytics.</w:t>
        <w:br/>
        <w:br/>
        <w:t xml:space="preserve">2. **MIS** - Management Information Systems  </w:t>
        <w:br/>
        <w:t xml:space="preserve">   The consulting firm, Kaya MIS Consulting, primarily handles the integration of the system's management and educational functionalities.</w:t>
        <w:br/>
        <w:br/>
        <w:t xml:space="preserve">3. **MSBC** - MSBC Group  </w:t>
        <w:br/>
        <w:t xml:space="preserve">   A partnering organization involved in the design and development of the AI-powered educational platform, specifically focusing on hardware specifications and system architecture.</w:t>
        <w:br/>
        <w:br/>
        <w:t xml:space="preserve">4. **SEN/EAL** - Special Educational Needs/English as an Additional Language  </w:t>
        <w:br/>
        <w:t xml:space="preserve">   These workflows are pivotal for customizing educational content and ensuring compliance with diverse educational requirements, as discussed by Riza Kaya.</w:t>
        <w:br/>
        <w:br/>
        <w:t xml:space="preserve">5. **GDPR** - General Data Protection Regulation  </w:t>
        <w:br/>
        <w:t xml:space="preserve">   A vital compliance requirement ensuring the platform adheres to data privacy standards, particularly for European-based schools, as emphasized in the meeting.</w:t>
        <w:br/>
        <w:br/>
        <w:t xml:space="preserve">6. **UI/UX** - User Interface/User Experience  </w:t>
        <w:br/>
        <w:t xml:space="preserve">   Refers to the design aspects of the platform, aiming for a simple and intuitive interface similar to ChatGPT, as highlighted in the meeting discussions.</w:t>
        <w:br/>
        <w:br/>
        <w:t xml:space="preserve">7. **LMS** - Learning Management System  </w:t>
        <w:br/>
        <w:t xml:space="preserve">   Existing systems through which teachers will share outputs. The platform will focus on content generation, excluding storage or distribution responsibilities.</w:t>
        <w:br/>
        <w:br/>
        <w:t xml:space="preserve">8. **CSV/PDF** - Comma-Separated Values/Portable Document Format  </w:t>
        <w:br/>
        <w:t xml:space="preserve">   Formats for data import/export functionalities required for analytics and reporting, as mentioned in the action items of the meeting.</w:t>
        <w:br/>
        <w:br/>
        <w:t xml:space="preserve">9. **SRS** - Software Requirements Specification  </w:t>
        <w:br/>
        <w:t xml:space="preserve">   The document that details the functional and non-functional requirements of the project, which Suhail's team is tasked to finalize and share.</w:t>
        <w:br/>
        <w:br/>
        <w:t xml:space="preserve">10. **UI** - User Interface  </w:t>
        <w:br/>
        <w:t xml:space="preserve">    The aspect of the system that users interact with, which must adapt according to roles and active subscriptions, as described in the meeting insights.</w:t>
        <w:br/>
        <w:br/>
        <w:t>These acronyms and abbreviations are crucial for understanding the various components and functionalities discussed in the meetings. They reflect the interdisciplinary collaboration between MIS Consulting, MSBC Group, and other stakeholders in developing a robust educational platform that is compliant, scalable, and user-friendly. The emphasis on compliance, such as GDPR, and the role-specific UI customization highlight the platform’s adaptability to various educational and regulatory contexts.</w:t>
      </w:r>
    </w:p>
    <w:p>
      <w:pPr>
        <w:pStyle w:val="SRSHeading2"/>
      </w:pPr>
      <w:r>
        <w:t>Acronyms and Abbreviations</w:t>
      </w:r>
    </w:p>
    <w:p>
      <w:pPr>
        <w:pStyle w:val="SRSNormal"/>
        <w:ind w:left="360"/>
      </w:pPr>
      <w:r>
        <w:t>Purpose: Glossary of short forms used throughout the document</w:t>
      </w:r>
    </w:p>
    <w:p>
      <w:pPr>
        <w:pStyle w:val="SRSNormal"/>
        <w:spacing w:after="240"/>
        <w:ind w:left="360"/>
      </w:pPr>
      <w:r>
        <w:t>Source: Extracted from Documents</w:t>
      </w:r>
    </w:p>
    <w:p>
      <w:pPr>
        <w:pStyle w:val="SRSNormal"/>
        <w:spacing w:after="240"/>
        <w:ind w:left="360"/>
      </w:pPr>
      <w:r>
        <w:t>## Acronyms and Abbreviations</w:t>
        <w:br/>
        <w:br/>
        <w:t>This section provides a comprehensive list of acronyms and abbreviations used throughout the Software Requirements Specification (SRS) for the AI-powered educational platform and school admissions software project. It aims to ensure clarity and consistency in understanding and interpreting technical terms discussed in various meetings and documentation.</w:t>
        <w:br/>
        <w:br/>
        <w:t xml:space="preserve">1. **AI** - Artificial Intelligence  </w:t>
        <w:br/>
        <w:t xml:space="preserve">   Reference: The proposed educational platform is AI-powered, supporting advanced functionalities like content generation and predictive analytics.</w:t>
        <w:br/>
        <w:br/>
        <w:t xml:space="preserve">2. **MIS** - Management Information Systems  </w:t>
        <w:br/>
        <w:t xml:space="preserve">   Reference: MIS Consulting is the lead consultancy in the project, responsible for defining system architecture and design walkthroughs as discussed in the meetings dated June 13 and June 26.</w:t>
        <w:br/>
        <w:br/>
        <w:t xml:space="preserve">3. **MSBC** - MSBC Group  </w:t>
        <w:br/>
        <w:t xml:space="preserve">   Reference: A key stakeholder in the project, with representatives like Suhail Ahmed and Sahil Sharma regularly participating in project meetings and decision-making processes.</w:t>
        <w:br/>
        <w:br/>
        <w:t xml:space="preserve">4. **SEN** - Special Educational Needs  </w:t>
        <w:br/>
        <w:t xml:space="preserve">   Reference: Riza Kaya is tasked with providing sample curricula and workflows related to SEN, as well as other educational resources, as noted in the action items from the June 13 meeting.</w:t>
        <w:br/>
        <w:br/>
        <w:t xml:space="preserve">5. **EAL** - English as an Additional Language  </w:t>
        <w:br/>
        <w:t xml:space="preserve">   Reference: Similar to SEN, EAL workflows are part of the sample documentation Riza Kaya is expected to provide, supporting diverse educational requirements.</w:t>
        <w:br/>
        <w:br/>
        <w:t xml:space="preserve">6. **LMS** - Learning Management System  </w:t>
        <w:br/>
        <w:t xml:space="preserve">   Reference: Teachers are expected to share content and outputs through existing systems like LMS and Teams, as discussed in the context of collaboration during the Use Case 2 walkthrough on June 13.</w:t>
        <w:br/>
        <w:br/>
        <w:t xml:space="preserve">7. **GDPR** - General Data Protection Regulation  </w:t>
        <w:br/>
        <w:t xml:space="preserve">   Reference: Ensuring data privacy and access compliance with GDPR is a critical requirement for the platform, as emphasized in the meeting discussions on data privacy and access.</w:t>
        <w:br/>
        <w:br/>
        <w:t xml:space="preserve">8. **UI/UX** - User Interface/User Experience  </w:t>
        <w:br/>
        <w:t xml:space="preserve">   Reference: Aisha is tasked with preparing UI/UX design concepts, focusing on maintaining a simple and consistent user experience, akin to ChatGPT, as highlighted in the June 26 meeting.</w:t>
        <w:br/>
        <w:br/>
        <w:t xml:space="preserve">9. **CSV/PDF** - Comma-Separated Values/Portable Document Format  </w:t>
        <w:br/>
        <w:t xml:space="preserve">   Reference: The capability to upload and utilize CSV and PDF formats for analytics is a crucial feature discussed in the context of system integration and asset generation during the Use Case 4 meeting on June 26.</w:t>
        <w:br/>
        <w:br/>
        <w:t xml:space="preserve">10. **SRS** - Software Requirements Specification  </w:t>
        <w:br/>
        <w:t xml:space="preserve">    Reference: The SRS document is to be finalized to cover all use cases, providing a structured guideline for project development and execution, as outlined in the action items from the June 26 meeting.</w:t>
        <w:br/>
        <w:br/>
        <w:t>These acronyms and abbreviations are integral to understanding the project's scope, functionalities, and requirements. They reflect the discussions and decisions made during the various meetings and serve as a reference for stakeholders involved in the project.</w:t>
      </w:r>
    </w:p>
    <w:p/>
    <w:p>
      <w:pPr>
        <w:pStyle w:val="SRSHeading1"/>
      </w:pPr>
      <w:r>
        <w:t>Custom</w:t>
      </w:r>
    </w:p>
    <w:p>
      <w:pPr>
        <w:pStyle w:val="SRSHeading2"/>
      </w:pPr>
      <w:r>
        <w:t>User Persona</w:t>
      </w:r>
    </w:p>
    <w:p>
      <w:pPr>
        <w:pStyle w:val="SRSNormal"/>
        <w:ind w:left="360"/>
      </w:pPr>
      <w:r>
        <w:t>Purpose: To understand roles in project</w:t>
      </w:r>
    </w:p>
    <w:p>
      <w:pPr>
        <w:pStyle w:val="SRSNormal"/>
        <w:spacing w:after="240"/>
        <w:ind w:left="360"/>
      </w:pPr>
      <w:r>
        <w:t>Source: Custom Section</w:t>
      </w:r>
    </w:p>
    <w:p>
      <w:pPr>
        <w:pStyle w:val="SRSNormal"/>
        <w:spacing w:after="240"/>
        <w:ind w:left="360"/>
      </w:pPr>
      <w:r>
        <w:t>### User Persona</w:t>
        <w:br/>
        <w:br/>
        <w:t>#### Overview</w:t>
        <w:br/>
        <w:t>The development of the AI-powered educational platform by MIS Consulting is designed to cater to a diverse range of users, primarily focusing on teachers and students within an educational ecosystem. The user personas have been meticulously crafted based on insights from recent project meetings, specifically the Design Walkthrough and Use Case sessions dated June 13 and June 26, 2023. These personas reflect the varying needs, roles, and interactions of users within the platform, ensuring that the software meets the specific requirements of each category.</w:t>
        <w:br/>
        <w:br/>
        <w:t>#### Teacher Persona</w:t>
        <w:br/>
        <w:t>Teachers are the primary content creators and facilitators within the platform. According to the discussions highlighted in the June 13th meeting, teachers require robust infrastructure to create and share educational content efficiently. They need:</w:t>
        <w:br/>
        <w:t>- **Content Creation and Sharing:** Tools that support the creation of textual content, images, tables, and graphs, while excluding videos initially. This ensures that teachers can prepare comprehensive lesson plans and educational materials without overwhelming the system's storage capabilities.</w:t>
        <w:br/>
        <w:t>- **Storage and Access:** A tentative allocation of 2GB per teacher for personal storage, with the ability to share curated materials through existing systems like LMS and Teams. This setup grants teachers flexibility in managing their resources while maintaining compliance with GDPR standards.</w:t>
        <w:br/>
        <w:br/>
        <w:t>#### Student Persona</w:t>
        <w:br/>
        <w:t>Students represent the end-users of the educational materials created by teachers. The platform must support:</w:t>
        <w:br/>
        <w:t>- **Content Accessibility:** Easy access to learning materials uploaded by teachers, with an emphasis on a user-friendly interface. The primary language interface is English, with Arabic translations available to cater to regional users as noted in the June 13th meeting.</w:t>
        <w:br/>
        <w:t>- **Learning Engagement:** An adaptive UI that reveals functionalities according to the student's role and active subscriptions, ensuring a personalized and engaging learning experience.</w:t>
        <w:br/>
        <w:br/>
        <w:t>#### Administrative Persona</w:t>
        <w:br/>
        <w:t>School administrators are crucial stakeholders, responsible for managing subscriptions, compliance, and overall system governance. Key requirements include:</w:t>
        <w:br/>
        <w:t>- **Licensing and Subscription Management:** Offline systems with manual or semi-automated licensing, including expiry policies and grace periods for data retention and deletion. As discussed, this ensures data privacy and compliance with regional regulations.</w:t>
        <w:br/>
        <w:t>- **Performance Monitoring:** The ability to oversee system performance and scalability, supporting 5-10 concurrent users per subscription level, as highlighted in the June 26th meeting.</w:t>
        <w:br/>
        <w:br/>
        <w:t>#### Technical Considerations</w:t>
        <w:br/>
        <w:t>The platform's development involves several technical considerations to ensure optimal performance and scalability:</w:t>
        <w:br/>
        <w:t>- **Infrastructure:** Scalable hardware options to accommodate varying loads and performance expectations, ensuring seamless operation as the user base grows.</w:t>
        <w:br/>
        <w:t>- **Data Privacy and Security:** Emphasis on GDPR adherence and regional compliance to safeguard user data, as emphasized throughout the discussions. This includes implementing robust access controls and secure data handling protocols.</w:t>
        <w:br/>
        <w:br/>
        <w:t>#### Conclusion</w:t>
        <w:br/>
        <w:t>The user personas developed for the AI-powered educational platform highlight the critical roles and requirements of teachers, students, and administrators. By aligning software functionality with these user needs, MIS Consulting aims to deliver a comprehensive and compliant solution that enhances educational outcomes and operational efficiency across its target user base.</w:t>
      </w:r>
    </w:p>
    <w:p>
      <w:pPr>
        <w:pStyle w:val="SRSHeading2"/>
      </w:pPr>
      <w:r>
        <w:t>User Persona</w:t>
      </w:r>
    </w:p>
    <w:p>
      <w:pPr>
        <w:pStyle w:val="SRSNormal"/>
        <w:ind w:left="360"/>
      </w:pPr>
      <w:r>
        <w:t>Purpose: To understand roles in project</w:t>
      </w:r>
    </w:p>
    <w:p>
      <w:pPr>
        <w:pStyle w:val="SRSNormal"/>
        <w:spacing w:after="240"/>
        <w:ind w:left="360"/>
      </w:pPr>
      <w:r>
        <w:t>Source: Custom Section</w:t>
      </w:r>
    </w:p>
    <w:p>
      <w:pPr>
        <w:pStyle w:val="SRSNormal"/>
        <w:spacing w:after="240"/>
        <w:ind w:left="360"/>
      </w:pPr>
      <w:r>
        <w:t>## User Persona</w:t>
        <w:br/>
        <w:br/>
        <w:t>### Overview</w:t>
        <w:br/>
        <w:br/>
        <w:t>The AI-powered educational platform designed by MIS Consulting is intended to cater to a diverse range of users, primarily focusing on teachers and students within educational institutions. This user persona section provides a detailed characterization of the primary users, their roles, and how they interact with the platform. Insights for this section are derived from the meeting summaries of June 13 and June 26, which focused on infrastructure, content sharing, data management, and role-based functionalities.</w:t>
        <w:br/>
        <w:br/>
        <w:t>### Primary User: Teachers</w:t>
        <w:br/>
        <w:br/>
        <w:t>1. **Role and Responsibilities**:</w:t>
        <w:br/>
        <w:t xml:space="preserve">   - Teachers are the primary content creators on the platform. They are responsible for designing and sharing educational materials tailored to their subjects.</w:t>
        <w:br/>
        <w:t xml:space="preserve">   - They manage and upload various types of content, such as textual information, images, tables, and graphs. Currently, video content is not supported, but the infrastructure allows for potential future inclusion.</w:t>
        <w:br/>
        <w:br/>
        <w:t>2. **Interaction with the Platform**:</w:t>
        <w:br/>
        <w:t xml:space="preserve">   - Teachers have personal storage allocations, with a tentative limit of 2GB per teacher. This facilitates the organization of curated educational materials.</w:t>
        <w:br/>
        <w:t xml:space="preserve">   - They utilize existing systems like LMS and Teams for content distribution, while the AI platform primarily assists with content generation.</w:t>
        <w:br/>
        <w:br/>
        <w:t>3. **Security and Access Control**:</w:t>
        <w:br/>
        <w:t xml:space="preserve">   - Teachers have access to a central repository, emphasizing GDPR and regional compliance. The repository supports controlled sharing of materials with students and peers.</w:t>
        <w:br/>
        <w:t xml:space="preserve">   - Role-based access controls are implemented to ensure that teachers can manage their content while maintaining compliance with licensing and subscription protocols.</w:t>
        <w:br/>
        <w:br/>
        <w:t>### Secondary User: Students</w:t>
        <w:br/>
        <w:br/>
        <w:t>1. **Role and Responsibilities**:</w:t>
        <w:br/>
        <w:t xml:space="preserve">   - Students are the primary consumers of the educational content generated and shared by teachers on the platform.</w:t>
        <w:br/>
        <w:t xml:space="preserve">   - They engage with the learning materials through an adaptive user interface that aligns with their permissions and active subscriptions.</w:t>
        <w:br/>
        <w:br/>
        <w:t>2. **Interaction with the Platform**:</w:t>
        <w:br/>
        <w:t xml:space="preserve">   - The platform's user interface is designed to be intuitive and adaptable, providing students with access to learning materials relevant to their courses and subjects.</w:t>
        <w:br/>
        <w:t xml:space="preserve">   - With a focus on scalability, the system supports 5-10 concurrent users per subscription level, ensuring smooth access to resources.</w:t>
        <w:br/>
        <w:br/>
        <w:t>### Additional Considerations</w:t>
        <w:br/>
        <w:br/>
        <w:t xml:space="preserve">- **Licensing and Subscription Management**: </w:t>
        <w:br/>
        <w:t xml:space="preserve">  - The platform operates offline with manual or semi-automated licensing. This includes expiration policies with grace periods and automated data deletion, crucial for both teacher and student users.</w:t>
        <w:br/>
        <w:t xml:space="preserve">  - Subscription management is configured to reveal functionalities based on user roles, ensuring that each group accesses only the features pertinent to their needs.</w:t>
        <w:br/>
        <w:br/>
        <w:t>- **Performance and Scalability**:</w:t>
        <w:br/>
        <w:t xml:space="preserve">  - Given the platform's requirement to support concurrent users, scalable hardware options are available to accommodate varying user loads and ensure optimal performance.</w:t>
        <w:br/>
        <w:t xml:space="preserve">  - The system is designed to reveal functionalities based on user roles, adapting the UI according to permissions and active subscriptions, which is crucial for maintaining a seamless user experience.</w:t>
        <w:br/>
        <w:br/>
        <w:t>- **Language Support**:</w:t>
        <w:br/>
        <w:t xml:space="preserve">  - The primary interface is in English, with additional support for Arabic through translations. This reflects the platform's capability to cater to a diverse user base across different regions, as highlighted by the engagements with schools in Europe and the Middle East.</w:t>
        <w:br/>
        <w:br/>
        <w:t>### Conclusion</w:t>
        <w:br/>
        <w:br/>
        <w:t>The user personas of teachers and students have been meticulously crafted to align with the platform's strategic objectives of enhancing educational efficiency, decision support, and student growth. The insights drawn from the meeting discussions ensure that the platform's design and functionalities are tailored to meet the specific needs of these users, thereby fostering a conducive learning environment.</w:t>
      </w:r>
    </w:p>
    <w:p/>
    <w:p>
      <w:pPr>
        <w:pStyle w:val="SRSHeading1"/>
      </w:pPr>
      <w:r>
        <w:t>Gemini</w:t>
      </w:r>
    </w:p>
    <w:p>
      <w:pPr>
        <w:pStyle w:val="SRSHeading2"/>
      </w:pPr>
      <w:r>
        <w:t>1. Introduction</w:t>
      </w:r>
    </w:p>
    <w:p>
      <w:pPr>
        <w:pStyle w:val="SRSNormal"/>
        <w:ind w:left="360"/>
      </w:pPr>
      <w:r>
        <w:t>Purpose: Provides an overview of the Software Requirements Specification (SRS) document and the school admissions software project.</w:t>
      </w:r>
    </w:p>
    <w:p>
      <w:pPr>
        <w:pStyle w:val="SRSNormal"/>
        <w:spacing w:after="240"/>
        <w:ind w:left="360"/>
      </w:pPr>
      <w:r>
        <w:t>Source: Gemini API</w:t>
      </w:r>
    </w:p>
    <w:p>
      <w:pPr>
        <w:pStyle w:val="SRSNormal"/>
        <w:spacing w:after="240"/>
        <w:ind w:left="360"/>
      </w:pPr>
      <w:r>
        <w:t># 1. Introduction</w:t>
        <w:br/>
        <w:br/>
        <w:t>This Software Requirements Specification (SRS) document outlines the detailed requirements for the AI-powered educational platform being developed by MIS Consulting, MSBC Group, and associated partners. The document is based on comprehensive discussions held during design walkthroughs and specific use case evaluations, particularly focusing on the infrastructure, content sharing, data management, and additional functionalities. The platform is designed to enhance educational experiences through advanced AI capabilities, adhering to the strategic objectives of efficiency, decision support, and student growth.</w:t>
        <w:br/>
        <w:br/>
        <w:t>The initial design walkthrough, conducted on June 13, 2023, involved key stakeholders including Riza Kaya from Kaya MIS Consulting, Suhail Ahmed and Sahil Sharma from MSBC Group, and other team members. During this session, the team validated the system design and explored the current practices of teacher content creation and sharing. This led to the establishment of preliminary specifications concerning storage allocations—10GB per subject and 2GB per teacher—and content handling, focusing initially on textual content, images, tables, and graphs, while excluding videos from the initial rollout.</w:t>
        <w:br/>
        <w:br/>
        <w:t>Key discussions also highlighted the importance of a robust system architecture that supports diverse content types and sharing mechanisms. The platform's architecture is designed to ensure compliance with GDPR and other regional data privacy regulations, with a central repository accessible to all users, supplemented by a personal memory allocation for individual teachers. The collaborative functionality will enable teachers to share outputs through existing systems like LMS and Microsoft Teams, while the AI platform focuses on content generation rather than storage or distribution.</w:t>
        <w:br/>
        <w:br/>
        <w:t>The licensing and subscription models discussed emphasize offline systems with manual or semi-automated licensing processes. Expiry policies include grace periods and automated data deletion protocols to ensure efficient data management and compliance. The system's role-based access controls will adapt the user interface according to permissions and active subscriptions, ensuring a tailored experience for teachers and students.</w:t>
        <w:br/>
        <w:br/>
        <w:t>Performance and scalability are critical considerations for the platform, with expectations set for supporting 5-10 concurrent users per subscription level. Scalable hardware options will be explored to accommodate varying demand levels, ensuring consistent performance across different educational environments. The platform will initially support English as the primary interface language, with plans to include Arabic support via translations.</w:t>
        <w:br/>
        <w:br/>
        <w:t>Future sessions, including discussions on Use Case 3 and 4, are scheduled to further refine the platform's requirements, with a tentative follow-up meeting on June 18. These sessions will focus on integrating predictive analytics, marketing module support for offline environments, and phased implementation strategies for core features, expanding into other verticals like finance where applicable. This SRS document serves as a foundational reference for the project's development, ensuring alignment with strategic goals and technical specifications agreed upon by all stakeholders.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