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Scope</w:t>
      </w:r>
    </w:p>
    <w:p>
      <w:r>
        <w:br w:type="page"/>
      </w:r>
    </w:p>
    <w:p>
      <w:pPr>
        <w:pStyle w:val="SRSHeading1"/>
      </w:pPr>
      <w:r>
        <w:t>AI</w:t>
      </w:r>
    </w:p>
    <w:p>
      <w:pPr>
        <w:pStyle w:val="SRSHeading2"/>
      </w:pPr>
      <w:r>
        <w:t>Scope</w:t>
      </w:r>
    </w:p>
    <w:p>
      <w:pPr>
        <w:pStyle w:val="SRSNormal"/>
        <w:spacing w:after="240"/>
        <w:ind w:left="360"/>
      </w:pPr>
      <w:r>
        <w:t>Source: AI Generated</w:t>
      </w:r>
    </w:p>
    <w:p>
      <w:pPr>
        <w:pStyle w:val="SRSNormal"/>
        <w:spacing w:after="240"/>
        <w:ind w:left="360"/>
      </w:pPr>
      <w:r>
        <w:t>**Scope**</w:t>
        <w:br/>
        <w:br/>
        <w:t>The "Scope" section of this Software Requirements Specification (SRS) document delineates the extent and boundaries of the AI-driven educational tools project being developed collaboratively by MSBC and Riza Kaya's team. This project aims to deliver AI-powered solutions tailored for top-tier international schools, focusing primarily on offline deployment to enhance security and data privacy. The tools are designed to support schools in inspection readiness, lesson planning, personalized teaching, and admissions/marketing insights, as highlighted during the kick-off meeting held on May 29.</w:t>
        <w:br/>
        <w:br/>
        <w:t>The primary goal of this project is to create modular AI tools that cater to the specific needs of international schools, particularly those based in Switzerland and globally. These modules will include AI-driven inspection readiness support utilizing a RAG system, curriculum enhancement tools, academic performance tracking with visual reporting capabilities, and AI-enabled marketing and admissions support. The design and development of these modules are informed by the need for flexibility and scalability, allowing schools to select and implement the modules that best suit their requirements.</w:t>
        <w:br/>
        <w:br/>
        <w:t>Key technical specifications discussed in the meeting include the integration of data sourced from PDF reports, MIS, and LMS systems, with a strong preference for API integrations with major MIS providers such as iSAMS and Veracross. The project will primarily focus on offline deployment, although optional cloud-based solutions may be considered for broader adoption. The infrastructure must support dynamic and customizable report generation in formats such as PDF and Word documents, addressing the need for schools to easily access and interpret data.</w:t>
        <w:br/>
        <w:br/>
        <w:t>Decisions made during the meeting underscored the necessity of a modular architecture, enabling each use case to operate as an independent module. This approach is crucial for maintaining flexibility and efficiency in data handling and user experience. The meeting also emphasized the importance of data centralization, proposing a unified repository and API layer as foundational components of the system architecture. This centralization would streamline data access and integration across various school systems.</w:t>
        <w:br/>
        <w:br/>
        <w:t>Several constraints and considerations were raised during the discussions, including the need to balance customization with standardization. The team agreed on a lean build approach initially, with a roadmap for future customization options through portals and configuration settings. Additionally, the project must adhere to market-driven timelines due to high demand from schools, necessitating rapid development and deployment of a minimum viable product (MVP). The solutions provided must address real-world school problems, such as scattered data, lack of integration, and inefficient workflows, as articulated by the client representative, Riza Kaya.</w:t>
        <w:br/>
        <w:br/>
        <w:t>In summary, the scope of this project is well-defined with clear objectives, technical specifications, and strategic decisions rooted in the meeting discussions. The AI-driven educational tools aim to enhance operational efficiency and data utilization in international schools, with a focus on delivering innovative, modular solutions that can evolve with changing educational landscapes and technological advancements.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