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Introduction</w:t>
      </w:r>
    </w:p>
    <w:p>
      <w:pPr>
        <w:pStyle w:val="SRSNormal"/>
        <w:ind w:left="720"/>
      </w:pPr>
      <w:r>
        <w:t>1. Assumptions</w:t>
      </w:r>
    </w:p>
    <w:p>
      <w:r>
        <w:br w:type="page"/>
      </w:r>
    </w:p>
    <w:p>
      <w:pPr>
        <w:pStyle w:val="SRSHeading1"/>
      </w:pPr>
      <w:r>
        <w:t>Introduction</w:t>
      </w:r>
    </w:p>
    <w:p>
      <w:pPr>
        <w:pStyle w:val="SRSHeading2"/>
      </w:pPr>
      <w:r>
        <w:t>Assumptions</w:t>
      </w:r>
    </w:p>
    <w:p>
      <w:pPr>
        <w:pStyle w:val="SRSNormal"/>
        <w:ind w:left="360"/>
      </w:pPr>
      <w:r>
        <w:t>Purpose: Conditions assumed to be true for the purpose of this document.</w:t>
      </w:r>
    </w:p>
    <w:p>
      <w:pPr>
        <w:pStyle w:val="SRSNormal"/>
        <w:spacing w:after="240"/>
        <w:ind w:left="360"/>
      </w:pPr>
      <w:r>
        <w:t>Source: Standard Template</w:t>
      </w:r>
    </w:p>
    <w:p>
      <w:pPr>
        <w:pStyle w:val="SRSNormal"/>
        <w:spacing w:after="240"/>
        <w:ind w:left="360"/>
      </w:pPr>
      <w:r>
        <w:t>### Assumptions Section</w:t>
        <w:br/>
        <w:br/>
        <w:t>This section outlines the assumptions underlying the Software Requirements Specification (SRS) for the AI-driven educational platform being developed in collaboration between MSBC and Kaya MIS Consulting. These assumptions reflect the foundational conditions considered true during the project discussions and are critical for the successful implementation of the outlined requirements.</w:t>
        <w:br/>
        <w:br/>
        <w:t>Firstly, it is assumed that the platform will primarily operate in offline environments, as emphasized during the Use Case 4 meeting on June 26. This assumption significantly influences the system architecture and data handling strategies, as offline compatibility is prioritized to accommodate schools with limited online infrastructure. However, provisions for optional cloud-based solutions are considered for future scalability and broader adoption, indicating a flexible deployment strategy.</w:t>
        <w:br/>
        <w:br/>
        <w:t>The system's user roles and access controls are assumed to be strictly governed by teacher and admin assignments, as discussed in the Design Walkthrough for Use Case 3 on June 19. This assumption is crucial for maintaining a secure and controlled environment, particularly in classroom settings. It is expected that user interactions will occur within supervised setups, ensuring compliance with safety and content moderation standards.</w:t>
        <w:br/>
        <w:br/>
        <w:t>A key assumption is that the platform will initially support a range of content types, including textual data, images, tables, and graphs, but will exclude video content from its initial feature set. This decision, highlighted in the discussions of Use Case 2 on June 13, reflects the current technical constraints and storage considerations. Future iterations may extend support to more media types, contingent upon evolving user needs and technical capabilities.</w:t>
        <w:br/>
        <w:br/>
        <w:t>The development process assumes a modular architecture, with each use case functioning as an independent module. This design choice, discussed extensively in the Kick-Off Call on May 29, is intended to provide schools with the flexibility to adopt only the functionalities that align with their specific requirements. The modular approach also facilitates easier updates and customizations, allowing the system to evolve in response to user feedback and market demands.</w:t>
        <w:br/>
        <w:br/>
        <w:t>Another assumption concerns data centralization, which is considered the backbone of the platform's functionality. The discussions from the Kick-Off Call emphasized the necessity of a unified repository and API layer to streamline data integration and enhance user experience. This centralized data approach is critical for supporting the platform's various functionalities, such as inspection readiness, lesson planning, and performance tracking.</w:t>
        <w:br/>
        <w:br/>
        <w:t>Finally, it is assumed that the platform will integrate with existing MIS and LMS systems via API, as discussed during multiple meetings. This integration is expected to facilitate seamless data exchange and leverage existing school infrastructure, ensuring that the platform complements rather than disrupts current workflows. The reliance on established systems also underscores the importance of compliance with data privacy regulations, such as GDPR, ensuring that all data handling practices meet stringent security and privacy standards.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